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F7C7E" w14:textId="1947CCC9" w:rsidR="00E55280" w:rsidRDefault="00394F4D" w:rsidP="00E55280">
      <w:pPr>
        <w:rPr>
          <w:rFonts w:ascii="FS Albert ExtraBold" w:hAnsi="FS Albert ExtraBold" w:cs="Arial-BoldMT"/>
          <w:b/>
          <w:bCs/>
          <w:color w:val="894FBF"/>
          <w:spacing w:val="-2"/>
          <w:sz w:val="40"/>
          <w:szCs w:val="40"/>
          <w:lang w:bidi="en-US"/>
        </w:rPr>
      </w:pPr>
      <w:r>
        <w:rPr>
          <w:noProof/>
          <w:lang w:eastAsia="en-GB"/>
        </w:rPr>
        <w:drawing>
          <wp:anchor distT="0" distB="0" distL="114300" distR="114300" simplePos="0" relativeHeight="251663360" behindDoc="0" locked="0" layoutInCell="1" allowOverlap="1" wp14:anchorId="2BE3763E" wp14:editId="6A80F5C9">
            <wp:simplePos x="0" y="0"/>
            <wp:positionH relativeFrom="margin">
              <wp:posOffset>-590843</wp:posOffset>
            </wp:positionH>
            <wp:positionV relativeFrom="margin">
              <wp:posOffset>-450166</wp:posOffset>
            </wp:positionV>
            <wp:extent cx="1684800" cy="648000"/>
            <wp:effectExtent l="0" t="0" r="0" b="0"/>
            <wp:wrapTight wrapText="bothSides">
              <wp:wrapPolygon edited="0">
                <wp:start x="0" y="0"/>
                <wp:lineTo x="0" y="20329"/>
                <wp:lineTo x="14167" y="20965"/>
                <wp:lineTo x="15876" y="20965"/>
                <wp:lineTo x="21250" y="20329"/>
                <wp:lineTo x="21250" y="11435"/>
                <wp:lineTo x="20517" y="10165"/>
                <wp:lineTo x="175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MAKEUK_CNYK_FINAL (CMYK).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4800" cy="648000"/>
                    </a:xfrm>
                    <a:prstGeom prst="rect">
                      <a:avLst/>
                    </a:prstGeom>
                  </pic:spPr>
                </pic:pic>
              </a:graphicData>
            </a:graphic>
            <wp14:sizeRelH relativeFrom="page">
              <wp14:pctWidth>0</wp14:pctWidth>
            </wp14:sizeRelH>
            <wp14:sizeRelV relativeFrom="page">
              <wp14:pctHeight>0</wp14:pctHeight>
            </wp14:sizeRelV>
          </wp:anchor>
        </w:drawing>
      </w:r>
    </w:p>
    <w:p w14:paraId="7287FAC8" w14:textId="77777777" w:rsidR="00E55280" w:rsidRDefault="00E55280" w:rsidP="00E55280">
      <w:pPr>
        <w:rPr>
          <w:rFonts w:ascii="FS Albert ExtraBold" w:hAnsi="FS Albert ExtraBold" w:cs="Arial-BoldMT"/>
          <w:b/>
          <w:bCs/>
          <w:color w:val="894FBF"/>
          <w:spacing w:val="-2"/>
          <w:sz w:val="40"/>
          <w:szCs w:val="40"/>
          <w:lang w:bidi="en-US"/>
        </w:rPr>
      </w:pPr>
    </w:p>
    <w:p w14:paraId="6539E9AD" w14:textId="77777777" w:rsidR="00E55280" w:rsidRDefault="00E55280" w:rsidP="00E55280">
      <w:pPr>
        <w:rPr>
          <w:rFonts w:ascii="FS Albert ExtraBold" w:hAnsi="FS Albert ExtraBold" w:cs="Arial-BoldMT"/>
          <w:b/>
          <w:bCs/>
          <w:color w:val="894FBF"/>
          <w:spacing w:val="-2"/>
          <w:sz w:val="40"/>
          <w:szCs w:val="40"/>
          <w:lang w:bidi="en-US"/>
        </w:rPr>
      </w:pPr>
    </w:p>
    <w:p w14:paraId="76C68CB2" w14:textId="5A005AFD" w:rsidR="00032102" w:rsidRPr="00F605AC" w:rsidRDefault="00394F4D" w:rsidP="00E55280">
      <w:pPr>
        <w:rPr>
          <w:rFonts w:ascii="FS Albert ExtraBold" w:hAnsi="FS Albert ExtraBold" w:cs="Arial-BoldMT"/>
          <w:b/>
          <w:bCs/>
          <w:color w:val="1F3864" w:themeColor="accent5" w:themeShade="80"/>
          <w:spacing w:val="-2"/>
          <w:sz w:val="72"/>
          <w:szCs w:val="72"/>
          <w:lang w:bidi="en-US"/>
        </w:rPr>
      </w:pPr>
      <w:r w:rsidRPr="00F605AC">
        <w:rPr>
          <w:rFonts w:ascii="Arial" w:hAnsi="Arial" w:cs="Arial"/>
          <w:b/>
          <w:bCs/>
          <w:color w:val="1F3864" w:themeColor="accent5" w:themeShade="80"/>
          <w:spacing w:val="-2"/>
          <w:sz w:val="72"/>
          <w:szCs w:val="72"/>
          <w:lang w:bidi="en-US"/>
        </w:rPr>
        <w:t xml:space="preserve">MAKE UK ESSENTIAL GDPR TEMPLATES FOR HR – </w:t>
      </w:r>
    </w:p>
    <w:p w14:paraId="0A4392FE" w14:textId="3A107E01" w:rsidR="00394F4D" w:rsidRPr="00F605AC" w:rsidRDefault="00394F4D" w:rsidP="007447DE">
      <w:pPr>
        <w:rPr>
          <w:rFonts w:ascii="Arial" w:hAnsi="Arial" w:cs="Arial"/>
          <w:b/>
          <w:bCs/>
          <w:color w:val="1F3864" w:themeColor="accent5" w:themeShade="80"/>
          <w:spacing w:val="-2"/>
          <w:sz w:val="72"/>
          <w:szCs w:val="72"/>
          <w:lang w:bidi="en-US"/>
        </w:rPr>
      </w:pPr>
      <w:r w:rsidRPr="00F605AC">
        <w:rPr>
          <w:rFonts w:ascii="Arial" w:hAnsi="Arial" w:cs="Arial"/>
          <w:b/>
          <w:bCs/>
          <w:color w:val="1F3864" w:themeColor="accent5" w:themeShade="80"/>
          <w:spacing w:val="-2"/>
          <w:sz w:val="72"/>
          <w:szCs w:val="72"/>
          <w:lang w:bidi="en-US"/>
        </w:rPr>
        <w:t>POINTS TO NOTE</w:t>
      </w:r>
    </w:p>
    <w:p w14:paraId="5D6AC73B" w14:textId="77777777" w:rsidR="00394F4D" w:rsidRDefault="00394F4D" w:rsidP="007447DE">
      <w:pPr>
        <w:rPr>
          <w:rFonts w:ascii="FS Albert ExtraBold" w:hAnsi="FS Albert ExtraBold" w:cs="Arial-BoldMT"/>
          <w:b/>
          <w:bCs/>
          <w:color w:val="BAD80A"/>
          <w:spacing w:val="-2"/>
          <w:sz w:val="40"/>
          <w:szCs w:val="40"/>
          <w:lang w:bidi="en-US"/>
        </w:rPr>
      </w:pPr>
    </w:p>
    <w:p w14:paraId="6469FBAC" w14:textId="77777777" w:rsidR="00394F4D" w:rsidRDefault="00394F4D" w:rsidP="007447DE">
      <w:pPr>
        <w:rPr>
          <w:rFonts w:ascii="FS Albert ExtraBold" w:hAnsi="FS Albert ExtraBold" w:cs="Arial-BoldMT"/>
          <w:b/>
          <w:bCs/>
          <w:color w:val="BAD80A"/>
          <w:spacing w:val="-2"/>
          <w:sz w:val="40"/>
          <w:szCs w:val="40"/>
          <w:lang w:bidi="en-US"/>
        </w:rPr>
      </w:pPr>
    </w:p>
    <w:p w14:paraId="236DEEC7" w14:textId="77777777" w:rsidR="00394F4D" w:rsidRDefault="00394F4D">
      <w:pPr>
        <w:rPr>
          <w:rFonts w:ascii="Arial" w:hAnsi="Arial" w:cs="Arial"/>
          <w:b/>
          <w:sz w:val="32"/>
          <w:szCs w:val="32"/>
        </w:rPr>
      </w:pPr>
      <w:r>
        <w:rPr>
          <w:rFonts w:ascii="Arial" w:hAnsi="Arial" w:cs="Arial"/>
          <w:b/>
          <w:sz w:val="32"/>
          <w:szCs w:val="32"/>
        </w:rPr>
        <w:br w:type="page"/>
      </w:r>
    </w:p>
    <w:p w14:paraId="7A09A864" w14:textId="5424D0DF" w:rsidR="00EA584A" w:rsidRPr="00DF3C6C" w:rsidRDefault="00E27C5E" w:rsidP="003C1AAC">
      <w:pPr>
        <w:jc w:val="both"/>
        <w:rPr>
          <w:rFonts w:ascii="Arial" w:hAnsi="Arial" w:cs="Arial"/>
          <w:b/>
          <w:sz w:val="28"/>
          <w:szCs w:val="28"/>
        </w:rPr>
      </w:pPr>
      <w:r w:rsidRPr="00DF3C6C">
        <w:rPr>
          <w:rFonts w:ascii="Arial" w:hAnsi="Arial" w:cs="Arial"/>
          <w:b/>
          <w:sz w:val="28"/>
          <w:szCs w:val="28"/>
        </w:rPr>
        <w:lastRenderedPageBreak/>
        <w:t xml:space="preserve">Make UK </w:t>
      </w:r>
      <w:r w:rsidR="00220DD8" w:rsidRPr="00DF3C6C">
        <w:rPr>
          <w:rFonts w:ascii="Arial" w:hAnsi="Arial" w:cs="Arial"/>
          <w:b/>
          <w:sz w:val="28"/>
          <w:szCs w:val="28"/>
        </w:rPr>
        <w:t>E</w:t>
      </w:r>
      <w:r w:rsidR="004018F7" w:rsidRPr="00DF3C6C">
        <w:rPr>
          <w:rFonts w:ascii="Arial" w:hAnsi="Arial" w:cs="Arial"/>
          <w:b/>
          <w:sz w:val="28"/>
          <w:szCs w:val="28"/>
        </w:rPr>
        <w:t xml:space="preserve">ssential </w:t>
      </w:r>
      <w:r w:rsidR="001F6C4E" w:rsidRPr="00DF3C6C">
        <w:rPr>
          <w:rFonts w:ascii="Arial" w:hAnsi="Arial" w:cs="Arial"/>
          <w:b/>
          <w:sz w:val="28"/>
          <w:szCs w:val="28"/>
        </w:rPr>
        <w:t xml:space="preserve">GDPR </w:t>
      </w:r>
      <w:r w:rsidR="00362753" w:rsidRPr="00DF3C6C">
        <w:rPr>
          <w:rFonts w:ascii="Arial" w:hAnsi="Arial" w:cs="Arial"/>
          <w:b/>
          <w:sz w:val="28"/>
          <w:szCs w:val="28"/>
        </w:rPr>
        <w:t>Templates</w:t>
      </w:r>
      <w:r w:rsidR="00CF1E64" w:rsidRPr="00DF3C6C">
        <w:rPr>
          <w:rFonts w:ascii="Arial" w:hAnsi="Arial" w:cs="Arial"/>
          <w:b/>
          <w:sz w:val="28"/>
          <w:szCs w:val="28"/>
        </w:rPr>
        <w:t xml:space="preserve"> </w:t>
      </w:r>
      <w:r w:rsidR="00590722" w:rsidRPr="00DF3C6C">
        <w:rPr>
          <w:rFonts w:ascii="Arial" w:hAnsi="Arial" w:cs="Arial"/>
          <w:b/>
          <w:sz w:val="28"/>
          <w:szCs w:val="28"/>
        </w:rPr>
        <w:t>for HR</w:t>
      </w:r>
      <w:r w:rsidR="001F6C4E" w:rsidRPr="00DF3C6C">
        <w:rPr>
          <w:rFonts w:ascii="Arial" w:hAnsi="Arial" w:cs="Arial"/>
          <w:b/>
          <w:sz w:val="28"/>
          <w:szCs w:val="28"/>
        </w:rPr>
        <w:t xml:space="preserve"> </w:t>
      </w:r>
      <w:r w:rsidR="00CF2A16" w:rsidRPr="00DF3C6C">
        <w:rPr>
          <w:rFonts w:ascii="Arial" w:hAnsi="Arial" w:cs="Arial"/>
          <w:b/>
          <w:sz w:val="28"/>
          <w:szCs w:val="28"/>
        </w:rPr>
        <w:t xml:space="preserve">– </w:t>
      </w:r>
      <w:r w:rsidR="004018F7" w:rsidRPr="00DF3C6C">
        <w:rPr>
          <w:rFonts w:ascii="Arial" w:hAnsi="Arial" w:cs="Arial"/>
          <w:b/>
          <w:sz w:val="28"/>
          <w:szCs w:val="28"/>
        </w:rPr>
        <w:t>P</w:t>
      </w:r>
      <w:r w:rsidR="00590722" w:rsidRPr="00DF3C6C">
        <w:rPr>
          <w:rFonts w:ascii="Arial" w:hAnsi="Arial" w:cs="Arial"/>
          <w:b/>
          <w:sz w:val="28"/>
          <w:szCs w:val="28"/>
        </w:rPr>
        <w:t xml:space="preserve">oints to </w:t>
      </w:r>
      <w:proofErr w:type="gramStart"/>
      <w:r w:rsidR="00590722" w:rsidRPr="00DF3C6C">
        <w:rPr>
          <w:rFonts w:ascii="Arial" w:hAnsi="Arial" w:cs="Arial"/>
          <w:b/>
          <w:sz w:val="28"/>
          <w:szCs w:val="28"/>
        </w:rPr>
        <w:t>note</w:t>
      </w:r>
      <w:proofErr w:type="gramEnd"/>
    </w:p>
    <w:p w14:paraId="5F8DECDA" w14:textId="77777777" w:rsidR="00123CB8" w:rsidRPr="00DF3C6C" w:rsidRDefault="00123CB8" w:rsidP="003C1AAC">
      <w:pPr>
        <w:jc w:val="both"/>
        <w:rPr>
          <w:rFonts w:ascii="Arial" w:hAnsi="Arial" w:cs="Arial"/>
          <w:b/>
          <w:sz w:val="28"/>
          <w:szCs w:val="28"/>
        </w:rPr>
      </w:pPr>
    </w:p>
    <w:p w14:paraId="62C45005" w14:textId="45E85D06" w:rsidR="006863DE" w:rsidRDefault="006863DE" w:rsidP="006863DE">
      <w:pPr>
        <w:numPr>
          <w:ilvl w:val="0"/>
          <w:numId w:val="10"/>
        </w:numPr>
        <w:jc w:val="both"/>
        <w:rPr>
          <w:rFonts w:ascii="Arial" w:hAnsi="Arial" w:cs="Arial"/>
          <w:sz w:val="22"/>
          <w:szCs w:val="22"/>
        </w:rPr>
      </w:pPr>
      <w:r>
        <w:rPr>
          <w:rFonts w:ascii="Arial" w:hAnsi="Arial" w:cs="Arial"/>
          <w:sz w:val="22"/>
          <w:szCs w:val="22"/>
        </w:rPr>
        <w:t xml:space="preserve">These </w:t>
      </w:r>
      <w:r w:rsidR="003F5BA9">
        <w:rPr>
          <w:rFonts w:ascii="Arial" w:hAnsi="Arial" w:cs="Arial"/>
          <w:sz w:val="22"/>
          <w:szCs w:val="22"/>
        </w:rPr>
        <w:t>‘</w:t>
      </w:r>
      <w:r w:rsidR="0063029F">
        <w:rPr>
          <w:rFonts w:ascii="Arial" w:hAnsi="Arial" w:cs="Arial"/>
          <w:sz w:val="22"/>
          <w:szCs w:val="22"/>
        </w:rPr>
        <w:t>P</w:t>
      </w:r>
      <w:r>
        <w:rPr>
          <w:rFonts w:ascii="Arial" w:hAnsi="Arial" w:cs="Arial"/>
          <w:sz w:val="22"/>
          <w:szCs w:val="22"/>
        </w:rPr>
        <w:t>oints to note</w:t>
      </w:r>
      <w:r w:rsidR="003F5BA9">
        <w:rPr>
          <w:rFonts w:ascii="Arial" w:hAnsi="Arial" w:cs="Arial"/>
          <w:sz w:val="22"/>
          <w:szCs w:val="22"/>
        </w:rPr>
        <w:t>’</w:t>
      </w:r>
      <w:r>
        <w:rPr>
          <w:rFonts w:ascii="Arial" w:hAnsi="Arial" w:cs="Arial"/>
          <w:sz w:val="22"/>
          <w:szCs w:val="22"/>
        </w:rPr>
        <w:t xml:space="preserve"> apply to the suite of </w:t>
      </w:r>
      <w:r w:rsidR="00E27C5E">
        <w:rPr>
          <w:rFonts w:ascii="Arial" w:hAnsi="Arial" w:cs="Arial"/>
          <w:sz w:val="22"/>
          <w:szCs w:val="22"/>
        </w:rPr>
        <w:t xml:space="preserve">Make UK </w:t>
      </w:r>
      <w:r>
        <w:rPr>
          <w:rFonts w:ascii="Arial" w:hAnsi="Arial" w:cs="Arial"/>
          <w:sz w:val="22"/>
          <w:szCs w:val="22"/>
        </w:rPr>
        <w:t xml:space="preserve">Essential GDPR Templates for HR: </w:t>
      </w:r>
      <w:r w:rsidRPr="006863DE">
        <w:rPr>
          <w:rFonts w:ascii="Arial" w:hAnsi="Arial" w:cs="Arial"/>
          <w:sz w:val="22"/>
          <w:szCs w:val="22"/>
        </w:rPr>
        <w:t xml:space="preserve">Employee Privacy Notice, Job Applicant Privacy Notice, Data Protection Policy, Employee Record of Processing, Employee Data Retention </w:t>
      </w:r>
      <w:r w:rsidR="00877053">
        <w:rPr>
          <w:rFonts w:ascii="Arial" w:hAnsi="Arial" w:cs="Arial"/>
          <w:sz w:val="22"/>
          <w:szCs w:val="22"/>
        </w:rPr>
        <w:t>Process</w:t>
      </w:r>
      <w:r w:rsidR="00024CDE">
        <w:rPr>
          <w:rFonts w:ascii="Arial" w:hAnsi="Arial" w:cs="Arial"/>
          <w:sz w:val="22"/>
          <w:szCs w:val="22"/>
        </w:rPr>
        <w:t xml:space="preserve">, </w:t>
      </w:r>
      <w:r w:rsidRPr="006863DE">
        <w:rPr>
          <w:rFonts w:ascii="Arial" w:hAnsi="Arial" w:cs="Arial"/>
          <w:sz w:val="22"/>
          <w:szCs w:val="22"/>
        </w:rPr>
        <w:t xml:space="preserve">Employee </w:t>
      </w:r>
      <w:r>
        <w:rPr>
          <w:rFonts w:ascii="Arial" w:hAnsi="Arial" w:cs="Arial"/>
          <w:sz w:val="22"/>
          <w:szCs w:val="22"/>
        </w:rPr>
        <w:t>Data Protection Impact Assessment</w:t>
      </w:r>
      <w:r w:rsidR="00985F0E">
        <w:rPr>
          <w:rFonts w:ascii="Arial" w:hAnsi="Arial" w:cs="Arial"/>
          <w:sz w:val="22"/>
          <w:szCs w:val="22"/>
        </w:rPr>
        <w:t>,</w:t>
      </w:r>
      <w:r w:rsidR="00AA0FE3">
        <w:rPr>
          <w:rFonts w:ascii="Arial" w:hAnsi="Arial" w:cs="Arial"/>
          <w:sz w:val="22"/>
          <w:szCs w:val="22"/>
        </w:rPr>
        <w:t xml:space="preserve"> Guide to Handling a Personal Data B</w:t>
      </w:r>
      <w:r w:rsidR="00024CDE">
        <w:rPr>
          <w:rFonts w:ascii="Arial" w:hAnsi="Arial" w:cs="Arial"/>
          <w:sz w:val="22"/>
          <w:szCs w:val="22"/>
        </w:rPr>
        <w:t xml:space="preserve">reach </w:t>
      </w:r>
      <w:r w:rsidR="006615C8">
        <w:rPr>
          <w:rFonts w:ascii="Arial" w:hAnsi="Arial" w:cs="Arial"/>
          <w:sz w:val="22"/>
          <w:szCs w:val="22"/>
        </w:rPr>
        <w:t>and</w:t>
      </w:r>
      <w:r w:rsidR="006615C8" w:rsidRPr="006615C8">
        <w:rPr>
          <w:rFonts w:ascii="Arial" w:hAnsi="Arial" w:cs="Arial"/>
          <w:sz w:val="22"/>
          <w:szCs w:val="22"/>
        </w:rPr>
        <w:t xml:space="preserve"> </w:t>
      </w:r>
      <w:r w:rsidR="00AA0FE3">
        <w:rPr>
          <w:rFonts w:ascii="Arial" w:hAnsi="Arial" w:cs="Arial"/>
          <w:sz w:val="22"/>
          <w:szCs w:val="22"/>
        </w:rPr>
        <w:t>Guide to H</w:t>
      </w:r>
      <w:r w:rsidR="006615C8">
        <w:rPr>
          <w:rFonts w:ascii="Arial" w:hAnsi="Arial" w:cs="Arial"/>
          <w:sz w:val="22"/>
          <w:szCs w:val="22"/>
        </w:rPr>
        <w:t xml:space="preserve">andling </w:t>
      </w:r>
      <w:r w:rsidR="00AA0FE3">
        <w:rPr>
          <w:rFonts w:ascii="Arial" w:hAnsi="Arial" w:cs="Arial"/>
          <w:sz w:val="22"/>
          <w:szCs w:val="22"/>
        </w:rPr>
        <w:t>Individuals’ R</w:t>
      </w:r>
      <w:r w:rsidR="006615C8">
        <w:rPr>
          <w:rFonts w:ascii="Arial" w:hAnsi="Arial" w:cs="Arial"/>
          <w:sz w:val="22"/>
          <w:szCs w:val="22"/>
        </w:rPr>
        <w:t xml:space="preserve">equests to </w:t>
      </w:r>
      <w:r w:rsidR="00AA0FE3">
        <w:rPr>
          <w:rFonts w:ascii="Arial" w:hAnsi="Arial" w:cs="Arial"/>
          <w:sz w:val="22"/>
          <w:szCs w:val="22"/>
        </w:rPr>
        <w:t>E</w:t>
      </w:r>
      <w:r w:rsidR="006615C8">
        <w:rPr>
          <w:rFonts w:ascii="Arial" w:hAnsi="Arial" w:cs="Arial"/>
          <w:sz w:val="22"/>
          <w:szCs w:val="22"/>
        </w:rPr>
        <w:t xml:space="preserve">xercise </w:t>
      </w:r>
      <w:r w:rsidR="00AA0FE3">
        <w:rPr>
          <w:rFonts w:ascii="Arial" w:hAnsi="Arial" w:cs="Arial"/>
          <w:sz w:val="22"/>
          <w:szCs w:val="22"/>
        </w:rPr>
        <w:t>D</w:t>
      </w:r>
      <w:r w:rsidR="006615C8">
        <w:rPr>
          <w:rFonts w:ascii="Arial" w:hAnsi="Arial" w:cs="Arial"/>
          <w:sz w:val="22"/>
          <w:szCs w:val="22"/>
        </w:rPr>
        <w:t xml:space="preserve">ata </w:t>
      </w:r>
      <w:r w:rsidR="00AA0FE3">
        <w:rPr>
          <w:rFonts w:ascii="Arial" w:hAnsi="Arial" w:cs="Arial"/>
          <w:sz w:val="22"/>
          <w:szCs w:val="22"/>
        </w:rPr>
        <w:t>P</w:t>
      </w:r>
      <w:r w:rsidR="006615C8">
        <w:rPr>
          <w:rFonts w:ascii="Arial" w:hAnsi="Arial" w:cs="Arial"/>
          <w:sz w:val="22"/>
          <w:szCs w:val="22"/>
        </w:rPr>
        <w:t xml:space="preserve">rotection </w:t>
      </w:r>
      <w:r w:rsidR="00AA0FE3">
        <w:rPr>
          <w:rFonts w:ascii="Arial" w:hAnsi="Arial" w:cs="Arial"/>
          <w:sz w:val="22"/>
          <w:szCs w:val="22"/>
        </w:rPr>
        <w:t>Rights.</w:t>
      </w:r>
    </w:p>
    <w:p w14:paraId="203EAE14" w14:textId="77777777" w:rsidR="001018DE" w:rsidRDefault="001018DE" w:rsidP="001018DE">
      <w:pPr>
        <w:jc w:val="both"/>
        <w:rPr>
          <w:rFonts w:ascii="Arial" w:hAnsi="Arial" w:cs="Arial"/>
          <w:sz w:val="22"/>
          <w:szCs w:val="22"/>
        </w:rPr>
      </w:pPr>
    </w:p>
    <w:p w14:paraId="163EBE41" w14:textId="29572924" w:rsidR="00CA3604" w:rsidRDefault="00D3014A" w:rsidP="00B960B8">
      <w:pPr>
        <w:pStyle w:val="ListParagraph"/>
        <w:numPr>
          <w:ilvl w:val="0"/>
          <w:numId w:val="10"/>
        </w:numPr>
        <w:jc w:val="both"/>
        <w:rPr>
          <w:rFonts w:ascii="Arial" w:hAnsi="Arial" w:cs="Arial"/>
          <w:sz w:val="22"/>
          <w:szCs w:val="22"/>
        </w:rPr>
      </w:pPr>
      <w:r>
        <w:rPr>
          <w:rFonts w:ascii="Arial" w:hAnsi="Arial" w:cs="Arial"/>
          <w:sz w:val="22"/>
          <w:szCs w:val="22"/>
        </w:rPr>
        <w:t xml:space="preserve">The EU </w:t>
      </w:r>
      <w:r w:rsidR="00950E11">
        <w:rPr>
          <w:rFonts w:ascii="Arial" w:hAnsi="Arial" w:cs="Arial"/>
          <w:sz w:val="22"/>
          <w:szCs w:val="22"/>
        </w:rPr>
        <w:t>General Data Protection Regulation (</w:t>
      </w:r>
      <w:r w:rsidRPr="00D3014A">
        <w:rPr>
          <w:rFonts w:ascii="Arial" w:hAnsi="Arial" w:cs="Arial"/>
          <w:b/>
          <w:sz w:val="22"/>
          <w:szCs w:val="22"/>
        </w:rPr>
        <w:t xml:space="preserve">EU </w:t>
      </w:r>
      <w:r w:rsidR="00950E11" w:rsidRPr="00950E11">
        <w:rPr>
          <w:rFonts w:ascii="Arial" w:hAnsi="Arial" w:cs="Arial"/>
          <w:b/>
          <w:sz w:val="22"/>
          <w:szCs w:val="22"/>
        </w:rPr>
        <w:t>GDPR</w:t>
      </w:r>
      <w:r w:rsidR="00950E11">
        <w:rPr>
          <w:rFonts w:ascii="Arial" w:hAnsi="Arial" w:cs="Arial"/>
          <w:sz w:val="22"/>
          <w:szCs w:val="22"/>
        </w:rPr>
        <w:t>)</w:t>
      </w:r>
      <w:r w:rsidR="000F3581">
        <w:rPr>
          <w:rFonts w:ascii="Arial" w:hAnsi="Arial" w:cs="Arial"/>
          <w:sz w:val="22"/>
          <w:szCs w:val="22"/>
        </w:rPr>
        <w:t xml:space="preserve"> and</w:t>
      </w:r>
      <w:r w:rsidR="00950E11">
        <w:rPr>
          <w:rFonts w:ascii="Arial" w:hAnsi="Arial" w:cs="Arial"/>
          <w:sz w:val="22"/>
          <w:szCs w:val="22"/>
        </w:rPr>
        <w:t xml:space="preserve"> the Data Protection </w:t>
      </w:r>
      <w:r w:rsidR="00660699">
        <w:rPr>
          <w:rFonts w:ascii="Arial" w:hAnsi="Arial" w:cs="Arial"/>
          <w:sz w:val="22"/>
          <w:szCs w:val="22"/>
        </w:rPr>
        <w:t xml:space="preserve">Act </w:t>
      </w:r>
      <w:r w:rsidR="00950E11">
        <w:rPr>
          <w:rFonts w:ascii="Arial" w:hAnsi="Arial" w:cs="Arial"/>
          <w:sz w:val="22"/>
          <w:szCs w:val="22"/>
        </w:rPr>
        <w:t xml:space="preserve">2018 (the </w:t>
      </w:r>
      <w:r w:rsidR="00660699">
        <w:rPr>
          <w:rFonts w:ascii="Arial" w:hAnsi="Arial" w:cs="Arial"/>
          <w:b/>
          <w:sz w:val="22"/>
          <w:szCs w:val="22"/>
        </w:rPr>
        <w:t>DPA 2018</w:t>
      </w:r>
      <w:r w:rsidR="00950E11">
        <w:rPr>
          <w:rFonts w:ascii="Arial" w:hAnsi="Arial" w:cs="Arial"/>
          <w:sz w:val="22"/>
          <w:szCs w:val="22"/>
        </w:rPr>
        <w:t>)</w:t>
      </w:r>
      <w:r>
        <w:rPr>
          <w:rFonts w:ascii="Arial" w:hAnsi="Arial" w:cs="Arial"/>
          <w:sz w:val="22"/>
          <w:szCs w:val="22"/>
        </w:rPr>
        <w:t xml:space="preserve"> came into force on 25 May 2018</w:t>
      </w:r>
      <w:r w:rsidR="000F3581">
        <w:rPr>
          <w:rFonts w:ascii="Arial" w:hAnsi="Arial" w:cs="Arial"/>
          <w:sz w:val="22"/>
          <w:szCs w:val="22"/>
        </w:rPr>
        <w:t xml:space="preserve">. </w:t>
      </w:r>
      <w:r w:rsidRPr="00D3014A">
        <w:rPr>
          <w:rFonts w:ascii="Arial" w:hAnsi="Arial" w:cs="Arial"/>
          <w:sz w:val="22"/>
          <w:szCs w:val="22"/>
        </w:rPr>
        <w:t xml:space="preserve">Although the UK has now left the EU, the </w:t>
      </w:r>
      <w:r>
        <w:rPr>
          <w:rFonts w:ascii="Arial" w:hAnsi="Arial" w:cs="Arial"/>
          <w:sz w:val="22"/>
          <w:szCs w:val="22"/>
        </w:rPr>
        <w:t xml:space="preserve">substance of the </w:t>
      </w:r>
      <w:r w:rsidR="0096323B">
        <w:rPr>
          <w:rFonts w:ascii="Arial" w:hAnsi="Arial" w:cs="Arial"/>
          <w:sz w:val="22"/>
          <w:szCs w:val="22"/>
        </w:rPr>
        <w:t xml:space="preserve">EU </w:t>
      </w:r>
      <w:r w:rsidRPr="00D3014A">
        <w:rPr>
          <w:rFonts w:ascii="Arial" w:hAnsi="Arial" w:cs="Arial"/>
          <w:sz w:val="22"/>
          <w:szCs w:val="22"/>
        </w:rPr>
        <w:t xml:space="preserve">GDPR has been incorporated into our domestic law and therefore continues to apply, albeit with certain modifications to take account of Brexit. This is referred to as the </w:t>
      </w:r>
      <w:r>
        <w:rPr>
          <w:rFonts w:ascii="Arial" w:hAnsi="Arial" w:cs="Arial"/>
          <w:sz w:val="22"/>
          <w:szCs w:val="22"/>
        </w:rPr>
        <w:t>‘</w:t>
      </w:r>
      <w:r w:rsidRPr="00D3014A">
        <w:rPr>
          <w:rFonts w:ascii="Arial" w:hAnsi="Arial" w:cs="Arial"/>
          <w:b/>
          <w:sz w:val="22"/>
          <w:szCs w:val="22"/>
        </w:rPr>
        <w:t>UK GDPR</w:t>
      </w:r>
      <w:r>
        <w:rPr>
          <w:rFonts w:ascii="Arial" w:hAnsi="Arial" w:cs="Arial"/>
          <w:sz w:val="22"/>
          <w:szCs w:val="22"/>
        </w:rPr>
        <w:t>’</w:t>
      </w:r>
      <w:r w:rsidRPr="00D3014A">
        <w:rPr>
          <w:rFonts w:ascii="Arial" w:hAnsi="Arial" w:cs="Arial"/>
          <w:sz w:val="22"/>
          <w:szCs w:val="22"/>
        </w:rPr>
        <w:t xml:space="preserve">. In addition, the </w:t>
      </w:r>
      <w:r>
        <w:rPr>
          <w:rFonts w:ascii="Arial" w:hAnsi="Arial" w:cs="Arial"/>
          <w:sz w:val="22"/>
          <w:szCs w:val="22"/>
        </w:rPr>
        <w:t>DPA 2018 continues to apply and</w:t>
      </w:r>
      <w:r w:rsidRPr="00D3014A">
        <w:rPr>
          <w:rFonts w:ascii="Arial" w:hAnsi="Arial" w:cs="Arial"/>
          <w:sz w:val="22"/>
          <w:szCs w:val="22"/>
        </w:rPr>
        <w:t xml:space="preserve"> provides further detailed rules that sit alongside and supplement the UK GDPR provisions. </w:t>
      </w:r>
      <w:proofErr w:type="gramStart"/>
      <w:r>
        <w:rPr>
          <w:rFonts w:ascii="Arial" w:hAnsi="Arial" w:cs="Arial"/>
          <w:sz w:val="22"/>
          <w:szCs w:val="22"/>
        </w:rPr>
        <w:t>All of</w:t>
      </w:r>
      <w:proofErr w:type="gramEnd"/>
      <w:r>
        <w:rPr>
          <w:rFonts w:ascii="Arial" w:hAnsi="Arial" w:cs="Arial"/>
          <w:sz w:val="22"/>
          <w:szCs w:val="22"/>
        </w:rPr>
        <w:t xml:space="preserve"> the Essential GDPR Templates for HR have been drafted to reflect the requirements of the UK GDPR and DPA 2018. </w:t>
      </w:r>
      <w:r w:rsidR="00B960B8" w:rsidRPr="00B960B8">
        <w:rPr>
          <w:rFonts w:ascii="Arial" w:hAnsi="Arial" w:cs="Arial"/>
          <w:sz w:val="22"/>
          <w:szCs w:val="22"/>
        </w:rPr>
        <w:t>We use the term ‘the GDPR’ within these templates when referring to the requirements of both the UK GDPR and the DPA 2018 together, though s</w:t>
      </w:r>
      <w:r w:rsidR="00B960B8">
        <w:rPr>
          <w:rFonts w:ascii="Arial" w:hAnsi="Arial" w:cs="Arial"/>
          <w:sz w:val="22"/>
          <w:szCs w:val="22"/>
        </w:rPr>
        <w:t>ometimes we need to refer to</w:t>
      </w:r>
      <w:r w:rsidR="00B960B8" w:rsidRPr="00B960B8">
        <w:rPr>
          <w:rFonts w:ascii="Arial" w:hAnsi="Arial" w:cs="Arial"/>
          <w:sz w:val="22"/>
          <w:szCs w:val="22"/>
        </w:rPr>
        <w:t xml:space="preserve"> specific requirement</w:t>
      </w:r>
      <w:r w:rsidR="00B960B8">
        <w:rPr>
          <w:rFonts w:ascii="Arial" w:hAnsi="Arial" w:cs="Arial"/>
          <w:sz w:val="22"/>
          <w:szCs w:val="22"/>
        </w:rPr>
        <w:t>s</w:t>
      </w:r>
      <w:r w:rsidR="00B960B8" w:rsidRPr="00B960B8">
        <w:rPr>
          <w:rFonts w:ascii="Arial" w:hAnsi="Arial" w:cs="Arial"/>
          <w:sz w:val="22"/>
          <w:szCs w:val="22"/>
        </w:rPr>
        <w:t xml:space="preserve"> of either the UK GDPR or the DPA 2018.</w:t>
      </w:r>
      <w:r w:rsidR="00CD2C04">
        <w:rPr>
          <w:rFonts w:ascii="Arial" w:hAnsi="Arial" w:cs="Arial"/>
          <w:sz w:val="22"/>
          <w:szCs w:val="22"/>
        </w:rPr>
        <w:t xml:space="preserve"> </w:t>
      </w:r>
    </w:p>
    <w:p w14:paraId="51FC853C" w14:textId="77777777" w:rsidR="00CA3604" w:rsidRPr="00CA3604" w:rsidRDefault="00CA3604" w:rsidP="00CA3604">
      <w:pPr>
        <w:pStyle w:val="ListParagraph"/>
        <w:rPr>
          <w:rFonts w:ascii="Arial" w:hAnsi="Arial" w:cs="Arial"/>
          <w:sz w:val="22"/>
          <w:szCs w:val="22"/>
        </w:rPr>
      </w:pPr>
    </w:p>
    <w:p w14:paraId="1FA8FC13" w14:textId="2F4D8C91" w:rsidR="000F3581" w:rsidRDefault="00CD2C04" w:rsidP="00B960B8">
      <w:pPr>
        <w:pStyle w:val="ListParagraph"/>
        <w:numPr>
          <w:ilvl w:val="0"/>
          <w:numId w:val="10"/>
        </w:numPr>
        <w:jc w:val="both"/>
        <w:rPr>
          <w:rFonts w:ascii="Arial" w:hAnsi="Arial" w:cs="Arial"/>
          <w:sz w:val="22"/>
          <w:szCs w:val="22"/>
        </w:rPr>
      </w:pPr>
      <w:r>
        <w:rPr>
          <w:rFonts w:ascii="Arial" w:hAnsi="Arial" w:cs="Arial"/>
          <w:sz w:val="22"/>
          <w:szCs w:val="22"/>
        </w:rPr>
        <w:t xml:space="preserve">We </w:t>
      </w:r>
      <w:r w:rsidR="00CA3604">
        <w:rPr>
          <w:rFonts w:ascii="Arial" w:hAnsi="Arial" w:cs="Arial"/>
          <w:sz w:val="22"/>
          <w:szCs w:val="22"/>
        </w:rPr>
        <w:t>may occasionally</w:t>
      </w:r>
      <w:r>
        <w:rPr>
          <w:rFonts w:ascii="Arial" w:hAnsi="Arial" w:cs="Arial"/>
          <w:sz w:val="22"/>
          <w:szCs w:val="22"/>
        </w:rPr>
        <w:t xml:space="preserve"> refer specifically to the EU GDPR where this is necessary, </w:t>
      </w:r>
      <w:r w:rsidR="003E1CA8">
        <w:rPr>
          <w:rFonts w:ascii="Arial" w:hAnsi="Arial" w:cs="Arial"/>
          <w:sz w:val="22"/>
          <w:szCs w:val="22"/>
        </w:rPr>
        <w:t>for example,</w:t>
      </w:r>
      <w:r>
        <w:rPr>
          <w:rFonts w:ascii="Arial" w:hAnsi="Arial" w:cs="Arial"/>
          <w:sz w:val="22"/>
          <w:szCs w:val="22"/>
        </w:rPr>
        <w:t xml:space="preserve"> to draw attention to differences between the law as it applied before the UK left the EU and the current position. </w:t>
      </w:r>
      <w:r w:rsidR="00CA3604">
        <w:rPr>
          <w:rFonts w:ascii="Arial" w:hAnsi="Arial" w:cs="Arial"/>
          <w:sz w:val="22"/>
          <w:szCs w:val="22"/>
        </w:rPr>
        <w:t xml:space="preserve">However, please be aware that these template documents are intended to comply with the requirements of the UK GDPR and DPA 2018. They are not intended to be suitable for use for compliance with the EU GDPR and we recommend that you take legal advice on your specific circumstances if the EU GDPR applies to your data processing activities.  </w:t>
      </w:r>
    </w:p>
    <w:p w14:paraId="30DB3155" w14:textId="77777777" w:rsidR="000F3581" w:rsidRPr="000F3581" w:rsidRDefault="000F3581" w:rsidP="000148EE">
      <w:pPr>
        <w:pStyle w:val="ListParagraph"/>
        <w:rPr>
          <w:rFonts w:ascii="Arial" w:hAnsi="Arial" w:cs="Arial"/>
          <w:sz w:val="22"/>
          <w:szCs w:val="22"/>
        </w:rPr>
      </w:pPr>
    </w:p>
    <w:p w14:paraId="640047D8" w14:textId="1C44E4AB" w:rsidR="001018DE" w:rsidRPr="001018DE" w:rsidRDefault="008A1E06" w:rsidP="001018DE">
      <w:pPr>
        <w:pStyle w:val="ListParagraph"/>
        <w:numPr>
          <w:ilvl w:val="0"/>
          <w:numId w:val="10"/>
        </w:numPr>
        <w:jc w:val="both"/>
        <w:rPr>
          <w:rFonts w:ascii="Arial" w:hAnsi="Arial" w:cs="Arial"/>
          <w:sz w:val="22"/>
          <w:szCs w:val="22"/>
        </w:rPr>
      </w:pPr>
      <w:r>
        <w:rPr>
          <w:rFonts w:ascii="Arial" w:hAnsi="Arial" w:cs="Arial"/>
          <w:sz w:val="22"/>
          <w:szCs w:val="22"/>
        </w:rPr>
        <w:t>This</w:t>
      </w:r>
      <w:r w:rsidR="009734D8">
        <w:rPr>
          <w:rFonts w:ascii="Arial" w:hAnsi="Arial" w:cs="Arial"/>
          <w:sz w:val="22"/>
          <w:szCs w:val="22"/>
        </w:rPr>
        <w:t xml:space="preserve"> updated version of the t</w:t>
      </w:r>
      <w:r>
        <w:rPr>
          <w:rFonts w:ascii="Arial" w:hAnsi="Arial" w:cs="Arial"/>
          <w:sz w:val="22"/>
          <w:szCs w:val="22"/>
        </w:rPr>
        <w:t xml:space="preserve">emplates (Version </w:t>
      </w:r>
      <w:r w:rsidR="008F7910">
        <w:rPr>
          <w:rFonts w:ascii="Arial" w:hAnsi="Arial" w:cs="Arial"/>
          <w:sz w:val="22"/>
          <w:szCs w:val="22"/>
        </w:rPr>
        <w:t>5.</w:t>
      </w:r>
      <w:r w:rsidR="00757151">
        <w:rPr>
          <w:rFonts w:ascii="Arial" w:hAnsi="Arial" w:cs="Arial"/>
          <w:sz w:val="22"/>
          <w:szCs w:val="22"/>
        </w:rPr>
        <w:t>5</w:t>
      </w:r>
      <w:r>
        <w:rPr>
          <w:rFonts w:ascii="Arial" w:hAnsi="Arial" w:cs="Arial"/>
          <w:sz w:val="22"/>
          <w:szCs w:val="22"/>
        </w:rPr>
        <w:t xml:space="preserve">) takes into account the legislation and </w:t>
      </w:r>
      <w:r w:rsidR="008F7910">
        <w:rPr>
          <w:rFonts w:ascii="Arial" w:hAnsi="Arial" w:cs="Arial"/>
          <w:sz w:val="22"/>
          <w:szCs w:val="22"/>
        </w:rPr>
        <w:t>g</w:t>
      </w:r>
      <w:r>
        <w:rPr>
          <w:rFonts w:ascii="Arial" w:hAnsi="Arial" w:cs="Arial"/>
          <w:sz w:val="22"/>
          <w:szCs w:val="22"/>
        </w:rPr>
        <w:t xml:space="preserve">uidance </w:t>
      </w:r>
      <w:r w:rsidR="004C043E">
        <w:rPr>
          <w:rFonts w:ascii="Arial" w:hAnsi="Arial" w:cs="Arial"/>
          <w:sz w:val="22"/>
          <w:szCs w:val="22"/>
        </w:rPr>
        <w:t xml:space="preserve">in force </w:t>
      </w:r>
      <w:r>
        <w:rPr>
          <w:rFonts w:ascii="Arial" w:hAnsi="Arial" w:cs="Arial"/>
          <w:sz w:val="22"/>
          <w:szCs w:val="22"/>
        </w:rPr>
        <w:t xml:space="preserve">as </w:t>
      </w:r>
      <w:proofErr w:type="gramStart"/>
      <w:r>
        <w:rPr>
          <w:rFonts w:ascii="Arial" w:hAnsi="Arial" w:cs="Arial"/>
          <w:sz w:val="22"/>
          <w:szCs w:val="22"/>
        </w:rPr>
        <w:t>at</w:t>
      </w:r>
      <w:proofErr w:type="gramEnd"/>
      <w:r>
        <w:rPr>
          <w:rFonts w:ascii="Arial" w:hAnsi="Arial" w:cs="Arial"/>
          <w:sz w:val="22"/>
          <w:szCs w:val="22"/>
        </w:rPr>
        <w:t xml:space="preserve"> </w:t>
      </w:r>
      <w:r w:rsidR="00757151">
        <w:rPr>
          <w:rFonts w:ascii="Arial" w:hAnsi="Arial" w:cs="Arial"/>
          <w:sz w:val="22"/>
          <w:szCs w:val="22"/>
        </w:rPr>
        <w:t xml:space="preserve">October </w:t>
      </w:r>
      <w:r w:rsidR="002E551B">
        <w:rPr>
          <w:rFonts w:ascii="Arial" w:hAnsi="Arial" w:cs="Arial"/>
          <w:sz w:val="22"/>
          <w:szCs w:val="22"/>
        </w:rPr>
        <w:t>2023</w:t>
      </w:r>
      <w:r w:rsidR="0039554F">
        <w:rPr>
          <w:rFonts w:ascii="Arial" w:hAnsi="Arial" w:cs="Arial"/>
          <w:sz w:val="22"/>
          <w:szCs w:val="22"/>
        </w:rPr>
        <w:t>, unless otherwise stated</w:t>
      </w:r>
      <w:r>
        <w:rPr>
          <w:rFonts w:ascii="Arial" w:hAnsi="Arial" w:cs="Arial"/>
          <w:sz w:val="22"/>
          <w:szCs w:val="22"/>
        </w:rPr>
        <w:t xml:space="preserve">. </w:t>
      </w:r>
    </w:p>
    <w:p w14:paraId="79D10B9F" w14:textId="77777777" w:rsidR="006863DE" w:rsidRDefault="006863DE" w:rsidP="0050768C">
      <w:pPr>
        <w:jc w:val="both"/>
        <w:rPr>
          <w:rFonts w:ascii="Arial" w:hAnsi="Arial" w:cs="Arial"/>
          <w:sz w:val="22"/>
          <w:szCs w:val="22"/>
        </w:rPr>
      </w:pPr>
    </w:p>
    <w:p w14:paraId="76FD8649" w14:textId="0CA67270" w:rsidR="00564D8A" w:rsidRDefault="00564D8A" w:rsidP="00094330">
      <w:pPr>
        <w:numPr>
          <w:ilvl w:val="0"/>
          <w:numId w:val="8"/>
        </w:numPr>
        <w:jc w:val="both"/>
        <w:rPr>
          <w:rFonts w:ascii="Arial" w:hAnsi="Arial" w:cs="Arial"/>
          <w:sz w:val="22"/>
          <w:szCs w:val="22"/>
        </w:rPr>
      </w:pPr>
      <w:r>
        <w:rPr>
          <w:rFonts w:ascii="Arial" w:hAnsi="Arial" w:cs="Arial"/>
          <w:sz w:val="22"/>
          <w:szCs w:val="22"/>
        </w:rPr>
        <w:t>Each document is accompanied by its own</w:t>
      </w:r>
      <w:r w:rsidR="002A3DDC">
        <w:rPr>
          <w:rFonts w:ascii="Arial" w:hAnsi="Arial" w:cs="Arial"/>
          <w:sz w:val="22"/>
          <w:szCs w:val="22"/>
        </w:rPr>
        <w:t xml:space="preserve"> key</w:t>
      </w:r>
      <w:r w:rsidR="003F5BA9">
        <w:rPr>
          <w:rFonts w:ascii="Arial" w:hAnsi="Arial" w:cs="Arial"/>
          <w:sz w:val="22"/>
          <w:szCs w:val="22"/>
        </w:rPr>
        <w:t xml:space="preserve"> ‘Points to note’</w:t>
      </w:r>
      <w:r w:rsidR="00CB6500">
        <w:rPr>
          <w:rFonts w:ascii="Arial" w:hAnsi="Arial" w:cs="Arial"/>
          <w:sz w:val="22"/>
          <w:szCs w:val="22"/>
        </w:rPr>
        <w:t xml:space="preserve"> which explains our approach and gives tips on customisation where app</w:t>
      </w:r>
      <w:r w:rsidR="0099676D">
        <w:rPr>
          <w:rFonts w:ascii="Arial" w:hAnsi="Arial" w:cs="Arial"/>
          <w:sz w:val="22"/>
          <w:szCs w:val="22"/>
        </w:rPr>
        <w:t>ropriate</w:t>
      </w:r>
      <w:r w:rsidR="002A3DDC">
        <w:rPr>
          <w:rFonts w:ascii="Arial" w:hAnsi="Arial" w:cs="Arial"/>
          <w:sz w:val="22"/>
          <w:szCs w:val="22"/>
        </w:rPr>
        <w:t xml:space="preserve">. </w:t>
      </w:r>
      <w:proofErr w:type="gramStart"/>
      <w:r w:rsidR="00CB6500">
        <w:rPr>
          <w:rFonts w:ascii="Arial" w:hAnsi="Arial" w:cs="Arial"/>
          <w:sz w:val="22"/>
          <w:szCs w:val="22"/>
        </w:rPr>
        <w:t>In order to</w:t>
      </w:r>
      <w:proofErr w:type="gramEnd"/>
      <w:r w:rsidR="00CB6500">
        <w:rPr>
          <w:rFonts w:ascii="Arial" w:hAnsi="Arial" w:cs="Arial"/>
          <w:sz w:val="22"/>
          <w:szCs w:val="22"/>
        </w:rPr>
        <w:t xml:space="preserve"> avoid duplication, we have sought to limit detailed explanations of particular </w:t>
      </w:r>
      <w:r w:rsidR="00B47E8E">
        <w:rPr>
          <w:rFonts w:ascii="Arial" w:hAnsi="Arial" w:cs="Arial"/>
          <w:sz w:val="22"/>
          <w:szCs w:val="22"/>
        </w:rPr>
        <w:t>GDPR issues</w:t>
      </w:r>
      <w:r w:rsidR="00CB6500">
        <w:rPr>
          <w:rFonts w:ascii="Arial" w:hAnsi="Arial" w:cs="Arial"/>
          <w:sz w:val="22"/>
          <w:szCs w:val="22"/>
        </w:rPr>
        <w:t xml:space="preserve"> to the documents in which they are most relevant</w:t>
      </w:r>
      <w:r w:rsidR="00B47E8E">
        <w:rPr>
          <w:rFonts w:ascii="Arial" w:hAnsi="Arial" w:cs="Arial"/>
          <w:sz w:val="22"/>
          <w:szCs w:val="22"/>
        </w:rPr>
        <w:t>, but the same issues may also apply to other documents</w:t>
      </w:r>
      <w:r w:rsidR="00CB6500">
        <w:rPr>
          <w:rFonts w:ascii="Arial" w:hAnsi="Arial" w:cs="Arial"/>
          <w:sz w:val="22"/>
          <w:szCs w:val="22"/>
        </w:rPr>
        <w:t xml:space="preserve">. </w:t>
      </w:r>
      <w:r w:rsidR="00B47E8E">
        <w:rPr>
          <w:rFonts w:ascii="Arial" w:hAnsi="Arial" w:cs="Arial"/>
          <w:sz w:val="22"/>
          <w:szCs w:val="22"/>
        </w:rPr>
        <w:t xml:space="preserve">We therefore recommend that you read </w:t>
      </w:r>
      <w:proofErr w:type="gramStart"/>
      <w:r w:rsidR="00B47E8E">
        <w:rPr>
          <w:rFonts w:ascii="Arial" w:hAnsi="Arial" w:cs="Arial"/>
          <w:sz w:val="22"/>
          <w:szCs w:val="22"/>
        </w:rPr>
        <w:t>all of</w:t>
      </w:r>
      <w:proofErr w:type="gramEnd"/>
      <w:r w:rsidR="00B47E8E">
        <w:rPr>
          <w:rFonts w:ascii="Arial" w:hAnsi="Arial" w:cs="Arial"/>
          <w:sz w:val="22"/>
          <w:szCs w:val="22"/>
        </w:rPr>
        <w:t xml:space="preserve"> the documents together.</w:t>
      </w:r>
    </w:p>
    <w:p w14:paraId="535DDC58" w14:textId="77777777" w:rsidR="00564D8A" w:rsidRDefault="00564D8A" w:rsidP="00564D8A">
      <w:pPr>
        <w:jc w:val="both"/>
        <w:rPr>
          <w:rFonts w:ascii="Arial" w:hAnsi="Arial" w:cs="Arial"/>
          <w:sz w:val="22"/>
          <w:szCs w:val="22"/>
        </w:rPr>
      </w:pPr>
    </w:p>
    <w:p w14:paraId="1DDA62D8" w14:textId="4E39993C" w:rsidR="00950E11" w:rsidRPr="00021FCB" w:rsidRDefault="00021FCB" w:rsidP="00021FCB">
      <w:pPr>
        <w:pStyle w:val="ListParagraph"/>
        <w:numPr>
          <w:ilvl w:val="0"/>
          <w:numId w:val="8"/>
        </w:numPr>
        <w:jc w:val="both"/>
        <w:rPr>
          <w:rFonts w:ascii="Arial" w:hAnsi="Arial" w:cs="Arial"/>
          <w:sz w:val="22"/>
          <w:szCs w:val="22"/>
        </w:rPr>
      </w:pPr>
      <w:r w:rsidRPr="00021FCB">
        <w:rPr>
          <w:rFonts w:ascii="Arial" w:hAnsi="Arial" w:cs="Arial"/>
          <w:sz w:val="22"/>
          <w:szCs w:val="22"/>
        </w:rPr>
        <w:t>T</w:t>
      </w:r>
      <w:r w:rsidR="00340872" w:rsidRPr="00021FCB">
        <w:rPr>
          <w:rFonts w:ascii="Arial" w:hAnsi="Arial" w:cs="Arial"/>
          <w:sz w:val="22"/>
          <w:szCs w:val="22"/>
        </w:rPr>
        <w:t>h</w:t>
      </w:r>
      <w:r w:rsidR="006A7E76" w:rsidRPr="00021FCB">
        <w:rPr>
          <w:rFonts w:ascii="Arial" w:hAnsi="Arial" w:cs="Arial"/>
          <w:sz w:val="22"/>
          <w:szCs w:val="22"/>
        </w:rPr>
        <w:t>e</w:t>
      </w:r>
      <w:r w:rsidR="00340872" w:rsidRPr="00021FCB">
        <w:rPr>
          <w:rFonts w:ascii="Arial" w:hAnsi="Arial" w:cs="Arial"/>
          <w:sz w:val="22"/>
          <w:szCs w:val="22"/>
        </w:rPr>
        <w:t xml:space="preserve"> documents </w:t>
      </w:r>
      <w:r w:rsidR="00934BEC" w:rsidRPr="00021FCB">
        <w:rPr>
          <w:rFonts w:ascii="Arial" w:hAnsi="Arial" w:cs="Arial"/>
          <w:sz w:val="22"/>
          <w:szCs w:val="22"/>
        </w:rPr>
        <w:t xml:space="preserve">generally </w:t>
      </w:r>
      <w:r w:rsidR="00340872" w:rsidRPr="00021FCB">
        <w:rPr>
          <w:rFonts w:ascii="Arial" w:hAnsi="Arial" w:cs="Arial"/>
          <w:sz w:val="22"/>
          <w:szCs w:val="22"/>
        </w:rPr>
        <w:t>deal with the HR-related aspects of data protection</w:t>
      </w:r>
      <w:r w:rsidR="00094330" w:rsidRPr="00021FCB">
        <w:rPr>
          <w:rFonts w:ascii="Arial" w:hAnsi="Arial" w:cs="Arial"/>
          <w:sz w:val="22"/>
          <w:szCs w:val="22"/>
        </w:rPr>
        <w:t xml:space="preserve">, covering the employer’s obligations in relation to personal data about </w:t>
      </w:r>
      <w:r w:rsidR="00950E11" w:rsidRPr="00021FCB">
        <w:rPr>
          <w:rFonts w:ascii="Arial" w:hAnsi="Arial" w:cs="Arial"/>
          <w:sz w:val="22"/>
          <w:szCs w:val="22"/>
        </w:rPr>
        <w:t>E</w:t>
      </w:r>
      <w:r w:rsidR="00036AD3" w:rsidRPr="00021FCB">
        <w:rPr>
          <w:rFonts w:ascii="Arial" w:hAnsi="Arial" w:cs="Arial"/>
          <w:sz w:val="22"/>
          <w:szCs w:val="22"/>
        </w:rPr>
        <w:t>mployees</w:t>
      </w:r>
      <w:r w:rsidR="00094330" w:rsidRPr="00021FCB">
        <w:rPr>
          <w:rFonts w:ascii="Arial" w:hAnsi="Arial" w:cs="Arial"/>
          <w:sz w:val="22"/>
          <w:szCs w:val="22"/>
        </w:rPr>
        <w:t xml:space="preserve"> </w:t>
      </w:r>
      <w:r w:rsidR="00950E11" w:rsidRPr="00021FCB">
        <w:rPr>
          <w:rFonts w:ascii="Arial" w:hAnsi="Arial" w:cs="Arial"/>
          <w:sz w:val="22"/>
          <w:szCs w:val="22"/>
        </w:rPr>
        <w:t>and Job Applicants (see below for definitions)</w:t>
      </w:r>
      <w:r w:rsidR="00AA0FE3" w:rsidRPr="00021FCB">
        <w:rPr>
          <w:rFonts w:ascii="Arial" w:hAnsi="Arial" w:cs="Arial"/>
          <w:sz w:val="22"/>
          <w:szCs w:val="22"/>
        </w:rPr>
        <w:t xml:space="preserve">. However, </w:t>
      </w:r>
      <w:r w:rsidR="00985F0E" w:rsidRPr="00021FCB">
        <w:rPr>
          <w:rFonts w:ascii="Arial" w:hAnsi="Arial" w:cs="Arial"/>
          <w:sz w:val="22"/>
          <w:szCs w:val="22"/>
        </w:rPr>
        <w:t xml:space="preserve">note that </w:t>
      </w:r>
      <w:r w:rsidR="00094330" w:rsidRPr="00021FCB">
        <w:rPr>
          <w:rFonts w:ascii="Arial" w:hAnsi="Arial" w:cs="Arial"/>
          <w:sz w:val="22"/>
          <w:szCs w:val="22"/>
        </w:rPr>
        <w:t>the Data Protection Policy</w:t>
      </w:r>
      <w:r w:rsidR="00985F0E" w:rsidRPr="00021FCB">
        <w:rPr>
          <w:rFonts w:ascii="Arial" w:hAnsi="Arial" w:cs="Arial"/>
          <w:sz w:val="22"/>
          <w:szCs w:val="22"/>
        </w:rPr>
        <w:t xml:space="preserve">, the Guide to Handling a Personal Data Breach and the Guide to Handling Individuals’ Requests to Exercise Data Protection Rights all </w:t>
      </w:r>
      <w:r w:rsidR="001E1D15" w:rsidRPr="00021FCB">
        <w:rPr>
          <w:rFonts w:ascii="Arial" w:hAnsi="Arial" w:cs="Arial"/>
          <w:sz w:val="22"/>
          <w:szCs w:val="22"/>
        </w:rPr>
        <w:t xml:space="preserve">cover </w:t>
      </w:r>
      <w:r w:rsidR="00BD27B1" w:rsidRPr="00021FCB">
        <w:rPr>
          <w:rFonts w:ascii="Arial" w:hAnsi="Arial" w:cs="Arial"/>
          <w:sz w:val="22"/>
          <w:szCs w:val="22"/>
        </w:rPr>
        <w:t>how</w:t>
      </w:r>
      <w:r w:rsidR="001E1D15" w:rsidRPr="00021FCB">
        <w:rPr>
          <w:rFonts w:ascii="Arial" w:hAnsi="Arial" w:cs="Arial"/>
          <w:sz w:val="22"/>
          <w:szCs w:val="22"/>
        </w:rPr>
        <w:t xml:space="preserve"> the </w:t>
      </w:r>
      <w:r w:rsidR="00E27C5E" w:rsidRPr="00021FCB">
        <w:rPr>
          <w:rFonts w:ascii="Arial" w:hAnsi="Arial" w:cs="Arial"/>
          <w:sz w:val="22"/>
          <w:szCs w:val="22"/>
        </w:rPr>
        <w:t xml:space="preserve">company </w:t>
      </w:r>
      <w:r w:rsidR="001E1D15" w:rsidRPr="00021FCB">
        <w:rPr>
          <w:rFonts w:ascii="Arial" w:hAnsi="Arial" w:cs="Arial"/>
          <w:sz w:val="22"/>
          <w:szCs w:val="22"/>
        </w:rPr>
        <w:t>will comply with its obligations in relation to personal data more generally</w:t>
      </w:r>
      <w:r w:rsidR="00985F0E" w:rsidRPr="00021FCB">
        <w:rPr>
          <w:rFonts w:ascii="Arial" w:hAnsi="Arial" w:cs="Arial"/>
          <w:sz w:val="22"/>
          <w:szCs w:val="22"/>
        </w:rPr>
        <w:t xml:space="preserve"> (</w:t>
      </w:r>
      <w:proofErr w:type="gramStart"/>
      <w:r w:rsidR="00985F0E" w:rsidRPr="00021FCB">
        <w:rPr>
          <w:rFonts w:ascii="Arial" w:hAnsi="Arial" w:cs="Arial"/>
          <w:sz w:val="22"/>
          <w:szCs w:val="22"/>
        </w:rPr>
        <w:t>i.e</w:t>
      </w:r>
      <w:r w:rsidR="00E27C5E" w:rsidRPr="00021FCB">
        <w:rPr>
          <w:rFonts w:ascii="Arial" w:hAnsi="Arial" w:cs="Arial"/>
          <w:sz w:val="22"/>
          <w:szCs w:val="22"/>
        </w:rPr>
        <w:t>.</w:t>
      </w:r>
      <w:proofErr w:type="gramEnd"/>
      <w:r w:rsidR="00985F0E" w:rsidRPr="00021FCB">
        <w:rPr>
          <w:rFonts w:ascii="Arial" w:hAnsi="Arial" w:cs="Arial"/>
          <w:sz w:val="22"/>
          <w:szCs w:val="22"/>
        </w:rPr>
        <w:t xml:space="preserve"> not only personal data about Employees/Job Applicants but also personal data about other individuals). </w:t>
      </w:r>
    </w:p>
    <w:p w14:paraId="354AB906" w14:textId="77777777" w:rsidR="006A7E76" w:rsidRPr="00985F0E" w:rsidRDefault="006A7E76" w:rsidP="00985F0E">
      <w:pPr>
        <w:ind w:left="720"/>
        <w:jc w:val="both"/>
        <w:rPr>
          <w:rFonts w:ascii="Arial" w:hAnsi="Arial" w:cs="Arial"/>
          <w:sz w:val="22"/>
          <w:szCs w:val="22"/>
        </w:rPr>
      </w:pPr>
    </w:p>
    <w:p w14:paraId="5E0EAA85" w14:textId="58D85A9C" w:rsidR="00F441BC" w:rsidRDefault="00E27C5E" w:rsidP="00094330">
      <w:pPr>
        <w:numPr>
          <w:ilvl w:val="0"/>
          <w:numId w:val="8"/>
        </w:numPr>
        <w:jc w:val="both"/>
        <w:rPr>
          <w:rFonts w:ascii="Arial" w:hAnsi="Arial" w:cs="Arial"/>
          <w:sz w:val="22"/>
          <w:szCs w:val="22"/>
        </w:rPr>
      </w:pPr>
      <w:proofErr w:type="gramStart"/>
      <w:r>
        <w:rPr>
          <w:rFonts w:ascii="Arial" w:hAnsi="Arial" w:cs="Arial"/>
          <w:sz w:val="22"/>
          <w:szCs w:val="22"/>
        </w:rPr>
        <w:t>T</w:t>
      </w:r>
      <w:r w:rsidR="008C1CB1">
        <w:rPr>
          <w:rFonts w:ascii="Arial" w:hAnsi="Arial" w:cs="Arial"/>
          <w:sz w:val="22"/>
          <w:szCs w:val="22"/>
        </w:rPr>
        <w:t>aking into account</w:t>
      </w:r>
      <w:proofErr w:type="gramEnd"/>
      <w:r w:rsidR="008C1CB1">
        <w:rPr>
          <w:rFonts w:ascii="Arial" w:hAnsi="Arial" w:cs="Arial"/>
          <w:sz w:val="22"/>
          <w:szCs w:val="22"/>
        </w:rPr>
        <w:t xml:space="preserve"> that the GDPR bites in all areas in which a business processes personal data, </w:t>
      </w:r>
      <w:r w:rsidR="00340872">
        <w:rPr>
          <w:rFonts w:ascii="Arial" w:hAnsi="Arial" w:cs="Arial"/>
          <w:sz w:val="22"/>
          <w:szCs w:val="22"/>
        </w:rPr>
        <w:t>employers should not necessarily see the</w:t>
      </w:r>
      <w:r w:rsidR="00094330">
        <w:rPr>
          <w:rFonts w:ascii="Arial" w:hAnsi="Arial" w:cs="Arial"/>
          <w:sz w:val="22"/>
          <w:szCs w:val="22"/>
        </w:rPr>
        <w:t>se templates</w:t>
      </w:r>
      <w:r w:rsidR="002508F0">
        <w:rPr>
          <w:rFonts w:ascii="Arial" w:hAnsi="Arial" w:cs="Arial"/>
          <w:sz w:val="22"/>
          <w:szCs w:val="22"/>
        </w:rPr>
        <w:t xml:space="preserve"> </w:t>
      </w:r>
      <w:r w:rsidR="00340872">
        <w:rPr>
          <w:rFonts w:ascii="Arial" w:hAnsi="Arial" w:cs="Arial"/>
          <w:sz w:val="22"/>
          <w:szCs w:val="22"/>
        </w:rPr>
        <w:t xml:space="preserve">as stand-alone documents and should consider how they fit with </w:t>
      </w:r>
      <w:r w:rsidR="00C86E62">
        <w:rPr>
          <w:rFonts w:ascii="Arial" w:hAnsi="Arial" w:cs="Arial"/>
          <w:sz w:val="22"/>
          <w:szCs w:val="22"/>
        </w:rPr>
        <w:t xml:space="preserve">their </w:t>
      </w:r>
      <w:r w:rsidR="00340872">
        <w:rPr>
          <w:rFonts w:ascii="Arial" w:hAnsi="Arial" w:cs="Arial"/>
          <w:sz w:val="22"/>
          <w:szCs w:val="22"/>
        </w:rPr>
        <w:t xml:space="preserve">other </w:t>
      </w:r>
      <w:r w:rsidR="00021FCB">
        <w:rPr>
          <w:rFonts w:ascii="Arial" w:hAnsi="Arial" w:cs="Arial"/>
          <w:sz w:val="22"/>
          <w:szCs w:val="22"/>
        </w:rPr>
        <w:t xml:space="preserve">HR and </w:t>
      </w:r>
      <w:r w:rsidR="00934BEC">
        <w:rPr>
          <w:rFonts w:ascii="Arial" w:hAnsi="Arial" w:cs="Arial"/>
          <w:sz w:val="22"/>
          <w:szCs w:val="22"/>
        </w:rPr>
        <w:t xml:space="preserve">non-HR related </w:t>
      </w:r>
      <w:r w:rsidR="00340872">
        <w:rPr>
          <w:rFonts w:ascii="Arial" w:hAnsi="Arial" w:cs="Arial"/>
          <w:sz w:val="22"/>
          <w:szCs w:val="22"/>
        </w:rPr>
        <w:t xml:space="preserve">GDPR documentation. </w:t>
      </w:r>
    </w:p>
    <w:p w14:paraId="73B0970A" w14:textId="77777777" w:rsidR="00ED093B" w:rsidRDefault="00ED093B" w:rsidP="00ED093B">
      <w:pPr>
        <w:jc w:val="both"/>
        <w:rPr>
          <w:rFonts w:ascii="Arial" w:hAnsi="Arial" w:cs="Arial"/>
          <w:sz w:val="22"/>
          <w:szCs w:val="22"/>
        </w:rPr>
      </w:pPr>
    </w:p>
    <w:p w14:paraId="589F5BF5" w14:textId="6FFB5ECF" w:rsidR="00ED093B" w:rsidRPr="00F441BC" w:rsidRDefault="00ED093B" w:rsidP="00ED093B">
      <w:pPr>
        <w:numPr>
          <w:ilvl w:val="0"/>
          <w:numId w:val="8"/>
        </w:numPr>
        <w:jc w:val="both"/>
        <w:rPr>
          <w:rFonts w:ascii="Arial" w:hAnsi="Arial" w:cs="Arial"/>
          <w:b/>
          <w:sz w:val="22"/>
          <w:szCs w:val="22"/>
        </w:rPr>
      </w:pPr>
      <w:r w:rsidRPr="00DC4D83">
        <w:rPr>
          <w:rFonts w:ascii="Arial" w:eastAsia="Times New Roman" w:hAnsi="Arial" w:cs="Arial"/>
          <w:color w:val="000000"/>
          <w:sz w:val="22"/>
          <w:szCs w:val="22"/>
          <w:lang w:eastAsia="en-GB"/>
        </w:rPr>
        <w:t xml:space="preserve">The </w:t>
      </w:r>
      <w:r>
        <w:rPr>
          <w:rFonts w:ascii="Arial" w:eastAsia="Times New Roman" w:hAnsi="Arial" w:cs="Arial"/>
          <w:color w:val="000000"/>
          <w:sz w:val="22"/>
          <w:szCs w:val="22"/>
          <w:lang w:eastAsia="en-GB"/>
        </w:rPr>
        <w:t>templates</w:t>
      </w:r>
      <w:r w:rsidRPr="00DC4D83">
        <w:rPr>
          <w:rFonts w:ascii="Arial" w:eastAsia="Times New Roman" w:hAnsi="Arial" w:cs="Arial"/>
          <w:color w:val="000000"/>
          <w:sz w:val="22"/>
          <w:szCs w:val="22"/>
          <w:lang w:eastAsia="en-GB"/>
        </w:rPr>
        <w:t xml:space="preserve"> are intended to work together as a suite, or a package, of documentation</w:t>
      </w:r>
      <w:r>
        <w:rPr>
          <w:rFonts w:ascii="Arial" w:eastAsia="Times New Roman" w:hAnsi="Arial" w:cs="Arial"/>
          <w:color w:val="000000"/>
          <w:sz w:val="22"/>
          <w:szCs w:val="22"/>
          <w:lang w:eastAsia="en-GB"/>
        </w:rPr>
        <w:t xml:space="preserve"> (which should ease the administrative burden of managing GDPR documents)</w:t>
      </w:r>
      <w:r w:rsidRPr="00DC4D83">
        <w:rPr>
          <w:rFonts w:ascii="Arial" w:eastAsia="Times New Roman" w:hAnsi="Arial" w:cs="Arial"/>
          <w:color w:val="000000"/>
          <w:sz w:val="22"/>
          <w:szCs w:val="22"/>
          <w:lang w:eastAsia="en-GB"/>
        </w:rPr>
        <w:t xml:space="preserve">. For example, assumptions we make about the categories of data processed and the processing activities </w:t>
      </w:r>
      <w:r w:rsidR="00985F0E">
        <w:rPr>
          <w:rFonts w:ascii="Arial" w:eastAsia="Times New Roman" w:hAnsi="Arial" w:cs="Arial"/>
          <w:color w:val="000000"/>
          <w:sz w:val="22"/>
          <w:szCs w:val="22"/>
          <w:lang w:eastAsia="en-GB"/>
        </w:rPr>
        <w:t xml:space="preserve">tend to be </w:t>
      </w:r>
      <w:r w:rsidRPr="00DC4D83">
        <w:rPr>
          <w:rFonts w:ascii="Arial" w:eastAsia="Times New Roman" w:hAnsi="Arial" w:cs="Arial"/>
          <w:color w:val="000000"/>
          <w:sz w:val="22"/>
          <w:szCs w:val="22"/>
          <w:lang w:eastAsia="en-GB"/>
        </w:rPr>
        <w:t xml:space="preserve">carried through all the </w:t>
      </w:r>
      <w:r>
        <w:rPr>
          <w:rFonts w:ascii="Arial" w:eastAsia="Times New Roman" w:hAnsi="Arial" w:cs="Arial"/>
          <w:color w:val="000000"/>
          <w:sz w:val="22"/>
          <w:szCs w:val="22"/>
          <w:lang w:eastAsia="en-GB"/>
        </w:rPr>
        <w:t xml:space="preserve">relevant </w:t>
      </w:r>
      <w:r w:rsidRPr="00DC4D83">
        <w:rPr>
          <w:rFonts w:ascii="Arial" w:eastAsia="Times New Roman" w:hAnsi="Arial" w:cs="Arial"/>
          <w:color w:val="000000"/>
          <w:sz w:val="22"/>
          <w:szCs w:val="22"/>
          <w:lang w:eastAsia="en-GB"/>
        </w:rPr>
        <w:t xml:space="preserve">documentation. </w:t>
      </w:r>
      <w:r>
        <w:rPr>
          <w:rFonts w:ascii="Arial" w:eastAsia="Times New Roman" w:hAnsi="Arial" w:cs="Arial"/>
          <w:color w:val="000000"/>
          <w:sz w:val="22"/>
          <w:szCs w:val="22"/>
          <w:lang w:eastAsia="en-GB"/>
        </w:rPr>
        <w:t>Note, t</w:t>
      </w:r>
      <w:r w:rsidRPr="00DC4D83">
        <w:rPr>
          <w:rFonts w:ascii="Arial" w:eastAsia="Times New Roman" w:hAnsi="Arial" w:cs="Arial"/>
          <w:color w:val="000000"/>
          <w:sz w:val="22"/>
          <w:szCs w:val="22"/>
          <w:lang w:eastAsia="en-GB"/>
        </w:rPr>
        <w:t xml:space="preserve">herefore, </w:t>
      </w:r>
      <w:r>
        <w:rPr>
          <w:rFonts w:ascii="Arial" w:eastAsia="Times New Roman" w:hAnsi="Arial" w:cs="Arial"/>
          <w:color w:val="000000"/>
          <w:sz w:val="22"/>
          <w:szCs w:val="22"/>
          <w:lang w:eastAsia="en-GB"/>
        </w:rPr>
        <w:t xml:space="preserve">that </w:t>
      </w:r>
      <w:r w:rsidRPr="00DC4D83">
        <w:rPr>
          <w:rFonts w:ascii="Arial" w:eastAsia="Times New Roman" w:hAnsi="Arial" w:cs="Arial"/>
          <w:color w:val="000000"/>
          <w:sz w:val="22"/>
          <w:szCs w:val="22"/>
          <w:lang w:eastAsia="en-GB"/>
        </w:rPr>
        <w:t xml:space="preserve">when the employer tailors one of the documents in a particular way, it should check whether this </w:t>
      </w:r>
      <w:r>
        <w:rPr>
          <w:rFonts w:ascii="Arial" w:eastAsia="Times New Roman" w:hAnsi="Arial" w:cs="Arial"/>
          <w:color w:val="000000"/>
          <w:sz w:val="22"/>
          <w:szCs w:val="22"/>
          <w:lang w:eastAsia="en-GB"/>
        </w:rPr>
        <w:t xml:space="preserve">also </w:t>
      </w:r>
      <w:r w:rsidRPr="00DC4D83">
        <w:rPr>
          <w:rFonts w:ascii="Arial" w:eastAsia="Times New Roman" w:hAnsi="Arial" w:cs="Arial"/>
          <w:color w:val="000000"/>
          <w:sz w:val="22"/>
          <w:szCs w:val="22"/>
          <w:lang w:eastAsia="en-GB"/>
        </w:rPr>
        <w:t xml:space="preserve">needs to be reflected in </w:t>
      </w:r>
      <w:r>
        <w:rPr>
          <w:rFonts w:ascii="Arial" w:eastAsia="Times New Roman" w:hAnsi="Arial" w:cs="Arial"/>
          <w:color w:val="000000"/>
          <w:sz w:val="22"/>
          <w:szCs w:val="22"/>
          <w:lang w:eastAsia="en-GB"/>
        </w:rPr>
        <w:t xml:space="preserve">any of </w:t>
      </w:r>
      <w:r w:rsidRPr="00DC4D83">
        <w:rPr>
          <w:rFonts w:ascii="Arial" w:eastAsia="Times New Roman" w:hAnsi="Arial" w:cs="Arial"/>
          <w:color w:val="000000"/>
          <w:sz w:val="22"/>
          <w:szCs w:val="22"/>
          <w:lang w:eastAsia="en-GB"/>
        </w:rPr>
        <w:t xml:space="preserve">the other documents. </w:t>
      </w:r>
    </w:p>
    <w:p w14:paraId="7497B39F" w14:textId="77777777" w:rsidR="00F441BC" w:rsidRDefault="00F441BC" w:rsidP="00F441BC">
      <w:pPr>
        <w:ind w:left="720"/>
        <w:jc w:val="both"/>
        <w:rPr>
          <w:rFonts w:ascii="Arial" w:hAnsi="Arial" w:cs="Arial"/>
          <w:sz w:val="22"/>
          <w:szCs w:val="22"/>
        </w:rPr>
      </w:pPr>
    </w:p>
    <w:p w14:paraId="7AD2D0FF" w14:textId="267E9F9B" w:rsidR="00ED093B" w:rsidRPr="00DC3239" w:rsidRDefault="00ED093B" w:rsidP="00ED093B">
      <w:pPr>
        <w:numPr>
          <w:ilvl w:val="0"/>
          <w:numId w:val="8"/>
        </w:numPr>
        <w:jc w:val="both"/>
        <w:rPr>
          <w:rFonts w:ascii="Arial" w:hAnsi="Arial" w:cs="Arial"/>
          <w:b/>
          <w:sz w:val="22"/>
          <w:szCs w:val="22"/>
        </w:rPr>
      </w:pPr>
      <w:r>
        <w:rPr>
          <w:rFonts w:ascii="Arial" w:hAnsi="Arial" w:cs="Arial"/>
          <w:sz w:val="22"/>
          <w:szCs w:val="22"/>
        </w:rPr>
        <w:t xml:space="preserve">Some of the templates cross-refer to other common policies and procedures that will include information relevant to data protection, which most employers are likely to have in place, such as an ‘Information Security Policy’, a ‘Technology and Communications Policy’, etc. The names of such policies appear in square brackets in the template </w:t>
      </w:r>
      <w:proofErr w:type="gramStart"/>
      <w:r>
        <w:rPr>
          <w:rFonts w:ascii="Arial" w:hAnsi="Arial" w:cs="Arial"/>
          <w:sz w:val="22"/>
          <w:szCs w:val="22"/>
        </w:rPr>
        <w:t>documents, and</w:t>
      </w:r>
      <w:proofErr w:type="gramEnd"/>
      <w:r>
        <w:rPr>
          <w:rFonts w:ascii="Arial" w:hAnsi="Arial" w:cs="Arial"/>
          <w:sz w:val="22"/>
          <w:szCs w:val="22"/>
        </w:rPr>
        <w:t xml:space="preserve"> will need to be tailored to reflect those in place in the employer’s organisation. Employers that do not have such policies in place may wish to consider their introduction if necessary to fill any compliance gaps.</w:t>
      </w:r>
      <w:r w:rsidR="00B97192">
        <w:rPr>
          <w:rFonts w:ascii="Arial" w:hAnsi="Arial" w:cs="Arial"/>
          <w:sz w:val="22"/>
          <w:szCs w:val="22"/>
        </w:rPr>
        <w:t xml:space="preserve"> Employers that have always had such policies in place, or </w:t>
      </w:r>
      <w:r w:rsidR="000F20E1">
        <w:rPr>
          <w:rFonts w:ascii="Arial" w:hAnsi="Arial" w:cs="Arial"/>
          <w:sz w:val="22"/>
          <w:szCs w:val="22"/>
        </w:rPr>
        <w:t>have had them in place for some time</w:t>
      </w:r>
      <w:r w:rsidR="009734D8">
        <w:rPr>
          <w:rFonts w:ascii="Arial" w:hAnsi="Arial" w:cs="Arial"/>
          <w:sz w:val="22"/>
          <w:szCs w:val="22"/>
        </w:rPr>
        <w:t>,</w:t>
      </w:r>
      <w:r w:rsidR="00B97192">
        <w:rPr>
          <w:rFonts w:ascii="Arial" w:hAnsi="Arial" w:cs="Arial"/>
          <w:sz w:val="22"/>
          <w:szCs w:val="22"/>
        </w:rPr>
        <w:t xml:space="preserve"> may wish to review them and see whether they need to make any changes.</w:t>
      </w:r>
      <w:r>
        <w:rPr>
          <w:rFonts w:ascii="Arial" w:hAnsi="Arial" w:cs="Arial"/>
          <w:sz w:val="22"/>
          <w:szCs w:val="22"/>
        </w:rPr>
        <w:t xml:space="preserve">  </w:t>
      </w:r>
    </w:p>
    <w:p w14:paraId="04A8B8C2" w14:textId="77777777" w:rsidR="00F441BC" w:rsidRPr="00F441BC" w:rsidRDefault="00F441BC" w:rsidP="00F441BC">
      <w:pPr>
        <w:jc w:val="both"/>
        <w:rPr>
          <w:rFonts w:ascii="Arial" w:hAnsi="Arial" w:cs="Arial"/>
          <w:sz w:val="22"/>
          <w:szCs w:val="22"/>
        </w:rPr>
      </w:pPr>
    </w:p>
    <w:p w14:paraId="57C4902A" w14:textId="77777777" w:rsidR="00D263B5" w:rsidRDefault="00CF1E64" w:rsidP="00CF1E64">
      <w:pPr>
        <w:numPr>
          <w:ilvl w:val="0"/>
          <w:numId w:val="8"/>
        </w:numPr>
        <w:jc w:val="both"/>
        <w:rPr>
          <w:rFonts w:ascii="Arial" w:eastAsia="Times New Roman" w:hAnsi="Arial" w:cs="Arial"/>
          <w:color w:val="000000"/>
          <w:sz w:val="22"/>
          <w:szCs w:val="22"/>
          <w:lang w:eastAsia="en-GB"/>
        </w:rPr>
      </w:pPr>
      <w:proofErr w:type="gramStart"/>
      <w:r w:rsidRPr="00CF1E64">
        <w:rPr>
          <w:rFonts w:ascii="Arial" w:eastAsia="Times New Roman" w:hAnsi="Arial" w:cs="Arial"/>
          <w:color w:val="000000"/>
          <w:sz w:val="22"/>
          <w:szCs w:val="22"/>
          <w:lang w:eastAsia="en-GB"/>
        </w:rPr>
        <w:t xml:space="preserve">All </w:t>
      </w:r>
      <w:r w:rsidR="002508F0" w:rsidRPr="00CF1E64">
        <w:rPr>
          <w:rFonts w:ascii="Arial" w:eastAsia="Times New Roman" w:hAnsi="Arial" w:cs="Arial"/>
          <w:color w:val="000000"/>
          <w:sz w:val="22"/>
          <w:szCs w:val="22"/>
          <w:lang w:eastAsia="en-GB"/>
        </w:rPr>
        <w:t>of</w:t>
      </w:r>
      <w:proofErr w:type="gramEnd"/>
      <w:r w:rsidR="002508F0" w:rsidRPr="00CF1E64">
        <w:rPr>
          <w:rFonts w:ascii="Arial" w:eastAsia="Times New Roman" w:hAnsi="Arial" w:cs="Arial"/>
          <w:color w:val="000000"/>
          <w:sz w:val="22"/>
          <w:szCs w:val="22"/>
          <w:lang w:eastAsia="en-GB"/>
        </w:rPr>
        <w:t xml:space="preserve"> </w:t>
      </w:r>
      <w:r w:rsidR="00DF1125" w:rsidRPr="00CF1E64">
        <w:rPr>
          <w:rFonts w:ascii="Arial" w:eastAsia="Times New Roman" w:hAnsi="Arial" w:cs="Arial"/>
          <w:color w:val="000000"/>
          <w:sz w:val="22"/>
          <w:szCs w:val="22"/>
          <w:lang w:eastAsia="en-GB"/>
        </w:rPr>
        <w:t xml:space="preserve">the documents are </w:t>
      </w:r>
      <w:r w:rsidR="002508F0" w:rsidRPr="00CF1E64">
        <w:rPr>
          <w:rFonts w:ascii="Arial" w:eastAsia="Times New Roman" w:hAnsi="Arial" w:cs="Arial"/>
          <w:color w:val="000000"/>
          <w:sz w:val="22"/>
          <w:szCs w:val="22"/>
          <w:lang w:eastAsia="en-GB"/>
        </w:rPr>
        <w:t xml:space="preserve">in </w:t>
      </w:r>
      <w:r w:rsidR="00DF1125" w:rsidRPr="00CF1E64">
        <w:rPr>
          <w:rFonts w:ascii="Arial" w:eastAsia="Times New Roman" w:hAnsi="Arial" w:cs="Arial"/>
          <w:color w:val="000000"/>
          <w:sz w:val="22"/>
          <w:szCs w:val="22"/>
          <w:lang w:eastAsia="en-GB"/>
        </w:rPr>
        <w:t>template</w:t>
      </w:r>
      <w:r w:rsidR="002508F0" w:rsidRPr="00CF1E64">
        <w:rPr>
          <w:rFonts w:ascii="Arial" w:eastAsia="Times New Roman" w:hAnsi="Arial" w:cs="Arial"/>
          <w:color w:val="000000"/>
          <w:sz w:val="22"/>
          <w:szCs w:val="22"/>
          <w:lang w:eastAsia="en-GB"/>
        </w:rPr>
        <w:t xml:space="preserve"> form, </w:t>
      </w:r>
      <w:r w:rsidR="00C67F13" w:rsidRPr="00CF1E64">
        <w:rPr>
          <w:rFonts w:ascii="Arial" w:eastAsia="Times New Roman" w:hAnsi="Arial" w:cs="Arial"/>
          <w:color w:val="000000"/>
          <w:sz w:val="22"/>
          <w:szCs w:val="22"/>
          <w:lang w:eastAsia="en-GB"/>
        </w:rPr>
        <w:t xml:space="preserve">and </w:t>
      </w:r>
      <w:r w:rsidR="008C1CB1" w:rsidRPr="00CF1E64">
        <w:rPr>
          <w:rFonts w:ascii="Arial" w:eastAsia="Times New Roman" w:hAnsi="Arial" w:cs="Arial"/>
          <w:color w:val="000000"/>
          <w:sz w:val="22"/>
          <w:szCs w:val="22"/>
          <w:lang w:eastAsia="en-GB"/>
        </w:rPr>
        <w:t>employers</w:t>
      </w:r>
      <w:r w:rsidR="00C67F13" w:rsidRPr="00CF1E64">
        <w:rPr>
          <w:rFonts w:ascii="Arial" w:eastAsia="Times New Roman" w:hAnsi="Arial" w:cs="Arial"/>
          <w:color w:val="000000"/>
          <w:sz w:val="22"/>
          <w:szCs w:val="22"/>
          <w:lang w:eastAsia="en-GB"/>
        </w:rPr>
        <w:t xml:space="preserve"> will need</w:t>
      </w:r>
      <w:r w:rsidR="002508F0" w:rsidRPr="00D263B5">
        <w:rPr>
          <w:rFonts w:ascii="Arial" w:eastAsia="Times New Roman" w:hAnsi="Arial" w:cs="Arial"/>
          <w:color w:val="000000"/>
          <w:sz w:val="22"/>
          <w:szCs w:val="22"/>
          <w:lang w:eastAsia="en-GB"/>
        </w:rPr>
        <w:t xml:space="preserve"> </w:t>
      </w:r>
      <w:r w:rsidR="00DF1125" w:rsidRPr="00D263B5">
        <w:rPr>
          <w:rFonts w:ascii="Arial" w:eastAsia="Times New Roman" w:hAnsi="Arial" w:cs="Arial"/>
          <w:color w:val="000000"/>
          <w:sz w:val="22"/>
          <w:szCs w:val="22"/>
          <w:lang w:eastAsia="en-GB"/>
        </w:rPr>
        <w:t>to adapt</w:t>
      </w:r>
      <w:r w:rsidR="00C67F13" w:rsidRPr="00D263B5">
        <w:rPr>
          <w:rFonts w:ascii="Arial" w:eastAsia="Times New Roman" w:hAnsi="Arial" w:cs="Arial"/>
          <w:color w:val="000000"/>
          <w:sz w:val="22"/>
          <w:szCs w:val="22"/>
          <w:lang w:eastAsia="en-GB"/>
        </w:rPr>
        <w:t xml:space="preserve"> and customise them</w:t>
      </w:r>
      <w:r w:rsidR="002508F0" w:rsidRPr="00D263B5">
        <w:rPr>
          <w:rFonts w:ascii="Arial" w:eastAsia="Times New Roman" w:hAnsi="Arial" w:cs="Arial"/>
          <w:color w:val="000000"/>
          <w:sz w:val="22"/>
          <w:szCs w:val="22"/>
          <w:lang w:eastAsia="en-GB"/>
        </w:rPr>
        <w:t xml:space="preserve"> </w:t>
      </w:r>
      <w:r w:rsidR="00DF1125" w:rsidRPr="00D263B5">
        <w:rPr>
          <w:rFonts w:ascii="Arial" w:eastAsia="Times New Roman" w:hAnsi="Arial" w:cs="Arial"/>
          <w:color w:val="000000"/>
          <w:sz w:val="22"/>
          <w:szCs w:val="22"/>
          <w:lang w:eastAsia="en-GB"/>
        </w:rPr>
        <w:t xml:space="preserve">to the </w:t>
      </w:r>
      <w:r w:rsidR="002508F0" w:rsidRPr="00D263B5">
        <w:rPr>
          <w:rFonts w:ascii="Arial" w:eastAsia="Times New Roman" w:hAnsi="Arial" w:cs="Arial"/>
          <w:color w:val="000000"/>
          <w:sz w:val="22"/>
          <w:szCs w:val="22"/>
          <w:lang w:eastAsia="en-GB"/>
        </w:rPr>
        <w:t xml:space="preserve">particular circumstances of their </w:t>
      </w:r>
      <w:r w:rsidR="00DF1125" w:rsidRPr="00D263B5">
        <w:rPr>
          <w:rFonts w:ascii="Arial" w:eastAsia="Times New Roman" w:hAnsi="Arial" w:cs="Arial"/>
          <w:color w:val="000000"/>
          <w:sz w:val="22"/>
          <w:szCs w:val="22"/>
          <w:lang w:eastAsia="en-GB"/>
        </w:rPr>
        <w:t>business</w:t>
      </w:r>
      <w:r>
        <w:rPr>
          <w:rFonts w:ascii="Arial" w:eastAsia="Times New Roman" w:hAnsi="Arial" w:cs="Arial"/>
          <w:color w:val="000000"/>
          <w:sz w:val="22"/>
          <w:szCs w:val="22"/>
          <w:lang w:eastAsia="en-GB"/>
        </w:rPr>
        <w:t>.</w:t>
      </w:r>
      <w:r w:rsidR="00D263B5">
        <w:rPr>
          <w:rFonts w:ascii="Arial" w:eastAsia="Times New Roman" w:hAnsi="Arial" w:cs="Arial"/>
          <w:color w:val="000000"/>
          <w:sz w:val="22"/>
          <w:szCs w:val="22"/>
          <w:lang w:eastAsia="en-GB"/>
        </w:rPr>
        <w:t xml:space="preserve"> </w:t>
      </w:r>
      <w:r w:rsidR="00D263B5" w:rsidRPr="00F441BC">
        <w:rPr>
          <w:rFonts w:ascii="Arial" w:eastAsia="Times New Roman" w:hAnsi="Arial" w:cs="Arial"/>
          <w:b/>
          <w:color w:val="000000"/>
          <w:sz w:val="22"/>
          <w:szCs w:val="22"/>
          <w:lang w:eastAsia="en-GB"/>
        </w:rPr>
        <w:t>This means tailoring all parts of the relevant document</w:t>
      </w:r>
      <w:r w:rsidR="00D263B5">
        <w:rPr>
          <w:rFonts w:ascii="Arial" w:eastAsia="Times New Roman" w:hAnsi="Arial" w:cs="Arial"/>
          <w:color w:val="000000"/>
          <w:sz w:val="22"/>
          <w:szCs w:val="22"/>
          <w:lang w:eastAsia="en-GB"/>
        </w:rPr>
        <w:t xml:space="preserve">, but note that, where we include square brackets, this indicates that </w:t>
      </w:r>
      <w:r w:rsidR="008D74D6">
        <w:rPr>
          <w:rFonts w:ascii="Arial" w:eastAsia="Times New Roman" w:hAnsi="Arial" w:cs="Arial"/>
          <w:color w:val="000000"/>
          <w:sz w:val="22"/>
          <w:szCs w:val="22"/>
          <w:lang w:eastAsia="en-GB"/>
        </w:rPr>
        <w:t xml:space="preserve">the employer </w:t>
      </w:r>
      <w:r w:rsidR="00D263B5">
        <w:rPr>
          <w:rFonts w:ascii="Arial" w:eastAsia="Times New Roman" w:hAnsi="Arial" w:cs="Arial"/>
          <w:color w:val="000000"/>
          <w:sz w:val="22"/>
          <w:szCs w:val="22"/>
          <w:lang w:eastAsia="en-GB"/>
        </w:rPr>
        <w:t>need</w:t>
      </w:r>
      <w:r w:rsidR="008D74D6">
        <w:rPr>
          <w:rFonts w:ascii="Arial" w:eastAsia="Times New Roman" w:hAnsi="Arial" w:cs="Arial"/>
          <w:color w:val="000000"/>
          <w:sz w:val="22"/>
          <w:szCs w:val="22"/>
          <w:lang w:eastAsia="en-GB"/>
        </w:rPr>
        <w:t>s</w:t>
      </w:r>
      <w:r w:rsidR="00D263B5">
        <w:rPr>
          <w:rFonts w:ascii="Arial" w:eastAsia="Times New Roman" w:hAnsi="Arial" w:cs="Arial"/>
          <w:color w:val="000000"/>
          <w:sz w:val="22"/>
          <w:szCs w:val="22"/>
          <w:lang w:eastAsia="en-GB"/>
        </w:rPr>
        <w:t xml:space="preserve"> to make a specific choice about what to include. </w:t>
      </w:r>
    </w:p>
    <w:p w14:paraId="2ADB831C" w14:textId="77777777" w:rsidR="00F441BC" w:rsidRPr="00F441BC" w:rsidRDefault="00F441BC" w:rsidP="00F441BC">
      <w:pPr>
        <w:jc w:val="both"/>
        <w:rPr>
          <w:rFonts w:ascii="Arial" w:eastAsia="Times New Roman" w:hAnsi="Arial" w:cs="Arial"/>
          <w:color w:val="000000"/>
          <w:sz w:val="22"/>
          <w:szCs w:val="22"/>
          <w:lang w:eastAsia="en-GB"/>
        </w:rPr>
      </w:pPr>
    </w:p>
    <w:p w14:paraId="42419992" w14:textId="77777777" w:rsidR="0078693A" w:rsidRPr="00D263B5" w:rsidRDefault="00616953" w:rsidP="00CF1E64">
      <w:pPr>
        <w:numPr>
          <w:ilvl w:val="0"/>
          <w:numId w:val="8"/>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It is very important to understand that, w</w:t>
      </w:r>
      <w:r w:rsidR="00340872" w:rsidRPr="00CF1E64">
        <w:rPr>
          <w:rFonts w:ascii="Arial" w:eastAsia="Times New Roman" w:hAnsi="Arial" w:cs="Arial"/>
          <w:color w:val="000000"/>
          <w:sz w:val="22"/>
          <w:szCs w:val="22"/>
          <w:lang w:eastAsia="en-GB"/>
        </w:rPr>
        <w:t xml:space="preserve">hen customising the template documents for their own </w:t>
      </w:r>
      <w:r w:rsidR="0078693A" w:rsidRPr="00CF1E64">
        <w:rPr>
          <w:rFonts w:ascii="Arial" w:eastAsia="Times New Roman" w:hAnsi="Arial" w:cs="Arial"/>
          <w:color w:val="000000"/>
          <w:sz w:val="22"/>
          <w:szCs w:val="22"/>
          <w:lang w:eastAsia="en-GB"/>
        </w:rPr>
        <w:t>business</w:t>
      </w:r>
      <w:r w:rsidR="00340872" w:rsidRPr="00CF1E64">
        <w:rPr>
          <w:rFonts w:ascii="Arial" w:eastAsia="Times New Roman" w:hAnsi="Arial" w:cs="Arial"/>
          <w:color w:val="000000"/>
          <w:sz w:val="22"/>
          <w:szCs w:val="22"/>
          <w:lang w:eastAsia="en-GB"/>
        </w:rPr>
        <w:t xml:space="preserve">, employers </w:t>
      </w:r>
      <w:r w:rsidR="0078693A" w:rsidRPr="00CF1E64">
        <w:rPr>
          <w:rFonts w:ascii="Arial" w:eastAsia="Times New Roman" w:hAnsi="Arial" w:cs="Arial"/>
          <w:color w:val="000000"/>
          <w:sz w:val="22"/>
          <w:szCs w:val="22"/>
          <w:lang w:eastAsia="en-GB"/>
        </w:rPr>
        <w:t xml:space="preserve">must reflect the </w:t>
      </w:r>
      <w:r w:rsidR="00340872" w:rsidRPr="00CF1E64">
        <w:rPr>
          <w:rFonts w:ascii="Arial" w:eastAsia="Times New Roman" w:hAnsi="Arial" w:cs="Arial"/>
          <w:color w:val="000000"/>
          <w:sz w:val="22"/>
          <w:szCs w:val="22"/>
          <w:lang w:eastAsia="en-GB"/>
        </w:rPr>
        <w:t xml:space="preserve">personal </w:t>
      </w:r>
      <w:r w:rsidR="0078693A" w:rsidRPr="00CF1E64">
        <w:rPr>
          <w:rFonts w:ascii="Arial" w:eastAsia="Times New Roman" w:hAnsi="Arial" w:cs="Arial"/>
          <w:color w:val="000000"/>
          <w:sz w:val="22"/>
          <w:szCs w:val="22"/>
          <w:lang w:eastAsia="en-GB"/>
        </w:rPr>
        <w:t xml:space="preserve">data they </w:t>
      </w:r>
      <w:proofErr w:type="gramStart"/>
      <w:r w:rsidR="0078693A" w:rsidRPr="00CF1E64">
        <w:rPr>
          <w:rFonts w:ascii="Arial" w:eastAsia="Times New Roman" w:hAnsi="Arial" w:cs="Arial"/>
          <w:color w:val="000000"/>
          <w:sz w:val="22"/>
          <w:szCs w:val="22"/>
          <w:lang w:eastAsia="en-GB"/>
        </w:rPr>
        <w:t>actually hold</w:t>
      </w:r>
      <w:proofErr w:type="gramEnd"/>
      <w:r w:rsidR="00340872" w:rsidRPr="00CF1E64">
        <w:rPr>
          <w:rFonts w:ascii="Arial" w:eastAsia="Times New Roman" w:hAnsi="Arial" w:cs="Arial"/>
          <w:color w:val="000000"/>
          <w:sz w:val="22"/>
          <w:szCs w:val="22"/>
          <w:lang w:eastAsia="en-GB"/>
        </w:rPr>
        <w:t xml:space="preserve">, </w:t>
      </w:r>
      <w:r w:rsidR="0078693A" w:rsidRPr="00CF1E64">
        <w:rPr>
          <w:rFonts w:ascii="Arial" w:eastAsia="Times New Roman" w:hAnsi="Arial" w:cs="Arial"/>
          <w:color w:val="000000"/>
          <w:sz w:val="22"/>
          <w:szCs w:val="22"/>
          <w:lang w:eastAsia="en-GB"/>
        </w:rPr>
        <w:t xml:space="preserve">their actual processing activities, how long </w:t>
      </w:r>
      <w:r w:rsidR="00340872" w:rsidRPr="00D263B5">
        <w:rPr>
          <w:rFonts w:ascii="Arial" w:eastAsia="Times New Roman" w:hAnsi="Arial" w:cs="Arial"/>
          <w:color w:val="000000"/>
          <w:sz w:val="22"/>
          <w:szCs w:val="22"/>
          <w:lang w:eastAsia="en-GB"/>
        </w:rPr>
        <w:t>they do in fact keep data for</w:t>
      </w:r>
      <w:r w:rsidR="00877053">
        <w:rPr>
          <w:rFonts w:ascii="Arial" w:eastAsia="Times New Roman" w:hAnsi="Arial" w:cs="Arial"/>
          <w:color w:val="000000"/>
          <w:sz w:val="22"/>
          <w:szCs w:val="22"/>
          <w:lang w:eastAsia="en-GB"/>
        </w:rPr>
        <w:t>,</w:t>
      </w:r>
      <w:r w:rsidR="00340872" w:rsidRPr="00D263B5">
        <w:rPr>
          <w:rFonts w:ascii="Arial" w:eastAsia="Times New Roman" w:hAnsi="Arial" w:cs="Arial"/>
          <w:color w:val="000000"/>
          <w:sz w:val="22"/>
          <w:szCs w:val="22"/>
          <w:lang w:eastAsia="en-GB"/>
        </w:rPr>
        <w:t xml:space="preserve"> etc. In addition, they </w:t>
      </w:r>
      <w:r w:rsidR="0078693A" w:rsidRPr="00D263B5">
        <w:rPr>
          <w:rFonts w:ascii="Arial" w:eastAsia="Times New Roman" w:hAnsi="Arial" w:cs="Arial"/>
          <w:color w:val="000000"/>
          <w:sz w:val="22"/>
          <w:szCs w:val="22"/>
          <w:lang w:eastAsia="en-GB"/>
        </w:rPr>
        <w:t xml:space="preserve">will have to decide on the appropriate level of detail </w:t>
      </w:r>
      <w:r w:rsidR="002508F0" w:rsidRPr="00D263B5">
        <w:rPr>
          <w:rFonts w:ascii="Arial" w:eastAsia="Times New Roman" w:hAnsi="Arial" w:cs="Arial"/>
          <w:color w:val="000000"/>
          <w:sz w:val="22"/>
          <w:szCs w:val="22"/>
          <w:lang w:eastAsia="en-GB"/>
        </w:rPr>
        <w:t xml:space="preserve">in the document. </w:t>
      </w:r>
      <w:r w:rsidR="0078693A" w:rsidRPr="00D263B5">
        <w:rPr>
          <w:rFonts w:ascii="Arial" w:eastAsia="Times New Roman" w:hAnsi="Arial" w:cs="Arial"/>
          <w:color w:val="000000"/>
          <w:sz w:val="22"/>
          <w:szCs w:val="22"/>
          <w:lang w:eastAsia="en-GB"/>
        </w:rPr>
        <w:t xml:space="preserve"> </w:t>
      </w:r>
    </w:p>
    <w:p w14:paraId="69AD4C0E" w14:textId="77777777" w:rsidR="004018F7" w:rsidRPr="00D263B5" w:rsidRDefault="004018F7" w:rsidP="00D263B5">
      <w:pPr>
        <w:pStyle w:val="ListParagraph"/>
        <w:jc w:val="both"/>
        <w:rPr>
          <w:rFonts w:ascii="Arial" w:eastAsia="Times New Roman" w:hAnsi="Arial" w:cs="Arial"/>
          <w:color w:val="000000"/>
          <w:sz w:val="22"/>
          <w:szCs w:val="22"/>
          <w:lang w:eastAsia="en-GB"/>
        </w:rPr>
      </w:pPr>
    </w:p>
    <w:p w14:paraId="384BA302" w14:textId="216D9047" w:rsidR="00042A2F" w:rsidRPr="00BD27B1" w:rsidRDefault="00042A2F" w:rsidP="00394F4D">
      <w:pPr>
        <w:numPr>
          <w:ilvl w:val="0"/>
          <w:numId w:val="8"/>
        </w:numPr>
        <w:jc w:val="both"/>
        <w:rPr>
          <w:rFonts w:ascii="Arial" w:hAnsi="Arial" w:cs="Arial"/>
          <w:sz w:val="22"/>
          <w:szCs w:val="22"/>
        </w:rPr>
      </w:pPr>
      <w:r w:rsidRPr="00BD27B1">
        <w:rPr>
          <w:rFonts w:ascii="Arial" w:hAnsi="Arial" w:cs="Arial"/>
          <w:sz w:val="22"/>
          <w:szCs w:val="22"/>
        </w:rPr>
        <w:t xml:space="preserve">The </w:t>
      </w:r>
      <w:r w:rsidR="00B52D83" w:rsidRPr="00BD27B1">
        <w:rPr>
          <w:rFonts w:ascii="Arial" w:hAnsi="Arial" w:cs="Arial"/>
          <w:sz w:val="22"/>
          <w:szCs w:val="22"/>
        </w:rPr>
        <w:t xml:space="preserve">template </w:t>
      </w:r>
      <w:r w:rsidRPr="00BD27B1">
        <w:rPr>
          <w:rFonts w:ascii="Arial" w:hAnsi="Arial" w:cs="Arial"/>
          <w:sz w:val="22"/>
          <w:szCs w:val="22"/>
        </w:rPr>
        <w:t xml:space="preserve">documents are </w:t>
      </w:r>
      <w:r w:rsidR="00985F0E">
        <w:rPr>
          <w:rFonts w:ascii="Arial" w:hAnsi="Arial" w:cs="Arial"/>
          <w:sz w:val="22"/>
          <w:szCs w:val="22"/>
        </w:rPr>
        <w:t xml:space="preserve">usually </w:t>
      </w:r>
      <w:r w:rsidRPr="00BD27B1">
        <w:rPr>
          <w:rFonts w:ascii="Arial" w:hAnsi="Arial" w:cs="Arial"/>
          <w:sz w:val="22"/>
          <w:szCs w:val="22"/>
        </w:rPr>
        <w:t>addressed to or relate to ‘Employees’</w:t>
      </w:r>
      <w:r w:rsidR="00D87EF6">
        <w:rPr>
          <w:rFonts w:ascii="Arial" w:hAnsi="Arial" w:cs="Arial"/>
          <w:sz w:val="22"/>
          <w:szCs w:val="22"/>
        </w:rPr>
        <w:t xml:space="preserve"> and/or ‘Job Applicants’. These</w:t>
      </w:r>
      <w:r w:rsidR="00B52D83" w:rsidRPr="00BD27B1">
        <w:rPr>
          <w:rFonts w:ascii="Arial" w:hAnsi="Arial" w:cs="Arial"/>
          <w:sz w:val="22"/>
          <w:szCs w:val="22"/>
        </w:rPr>
        <w:t xml:space="preserve"> </w:t>
      </w:r>
      <w:r w:rsidR="00D87EF6">
        <w:rPr>
          <w:rFonts w:ascii="Arial" w:hAnsi="Arial" w:cs="Arial"/>
          <w:sz w:val="22"/>
          <w:szCs w:val="22"/>
        </w:rPr>
        <w:t xml:space="preserve">are </w:t>
      </w:r>
      <w:r w:rsidR="00B52D83" w:rsidRPr="00BD27B1">
        <w:rPr>
          <w:rFonts w:ascii="Arial" w:hAnsi="Arial" w:cs="Arial"/>
          <w:sz w:val="22"/>
          <w:szCs w:val="22"/>
        </w:rPr>
        <w:t>defined term</w:t>
      </w:r>
      <w:r w:rsidR="002A0F98">
        <w:rPr>
          <w:rFonts w:ascii="Arial" w:hAnsi="Arial" w:cs="Arial"/>
          <w:sz w:val="22"/>
          <w:szCs w:val="22"/>
        </w:rPr>
        <w:t>s</w:t>
      </w:r>
      <w:r w:rsidR="00B52D83" w:rsidRPr="00BD27B1">
        <w:rPr>
          <w:rFonts w:ascii="Arial" w:hAnsi="Arial" w:cs="Arial"/>
          <w:sz w:val="22"/>
          <w:szCs w:val="22"/>
        </w:rPr>
        <w:t xml:space="preserve"> in the templates </w:t>
      </w:r>
      <w:r w:rsidR="002312FA" w:rsidRPr="00BD27B1">
        <w:rPr>
          <w:rFonts w:ascii="Arial" w:hAnsi="Arial" w:cs="Arial"/>
          <w:sz w:val="22"/>
          <w:szCs w:val="22"/>
        </w:rPr>
        <w:t xml:space="preserve">which will encompass not just employees </w:t>
      </w:r>
      <w:r w:rsidR="00D87EF6">
        <w:rPr>
          <w:rFonts w:ascii="Arial" w:hAnsi="Arial" w:cs="Arial"/>
          <w:sz w:val="22"/>
          <w:szCs w:val="22"/>
        </w:rPr>
        <w:t xml:space="preserve">and job applicants in the narrow ‘employment status’ sense but also </w:t>
      </w:r>
      <w:r w:rsidR="002312FA" w:rsidRPr="00BD27B1">
        <w:rPr>
          <w:rFonts w:ascii="Arial" w:hAnsi="Arial" w:cs="Arial"/>
          <w:sz w:val="22"/>
          <w:szCs w:val="22"/>
        </w:rPr>
        <w:t xml:space="preserve">workers, contractors, agency workers, consultants, interns, volunteers, </w:t>
      </w:r>
      <w:proofErr w:type="gramStart"/>
      <w:r w:rsidR="002312FA" w:rsidRPr="00BD27B1">
        <w:rPr>
          <w:rFonts w:ascii="Arial" w:hAnsi="Arial" w:cs="Arial"/>
          <w:sz w:val="22"/>
          <w:szCs w:val="22"/>
        </w:rPr>
        <w:t>partners</w:t>
      </w:r>
      <w:proofErr w:type="gramEnd"/>
      <w:r w:rsidR="002312FA" w:rsidRPr="00BD27B1">
        <w:rPr>
          <w:rFonts w:ascii="Arial" w:hAnsi="Arial" w:cs="Arial"/>
          <w:sz w:val="22"/>
          <w:szCs w:val="22"/>
        </w:rPr>
        <w:t xml:space="preserve"> and directors</w:t>
      </w:r>
      <w:r w:rsidR="00D87EF6">
        <w:rPr>
          <w:rFonts w:ascii="Arial" w:hAnsi="Arial" w:cs="Arial"/>
          <w:sz w:val="22"/>
          <w:szCs w:val="22"/>
        </w:rPr>
        <w:t xml:space="preserve"> (and applicants for all of the above</w:t>
      </w:r>
      <w:r w:rsidR="002A0F98">
        <w:rPr>
          <w:rFonts w:ascii="Arial" w:hAnsi="Arial" w:cs="Arial"/>
          <w:sz w:val="22"/>
          <w:szCs w:val="22"/>
        </w:rPr>
        <w:t xml:space="preserve"> positions</w:t>
      </w:r>
      <w:r w:rsidR="00D87EF6">
        <w:rPr>
          <w:rFonts w:ascii="Arial" w:hAnsi="Arial" w:cs="Arial"/>
          <w:sz w:val="22"/>
          <w:szCs w:val="22"/>
        </w:rPr>
        <w:t>)</w:t>
      </w:r>
      <w:r w:rsidR="002312FA" w:rsidRPr="00BD27B1">
        <w:rPr>
          <w:rFonts w:ascii="Arial" w:hAnsi="Arial" w:cs="Arial"/>
          <w:sz w:val="22"/>
          <w:szCs w:val="22"/>
        </w:rPr>
        <w:t>. Employers will need to tailor the definition</w:t>
      </w:r>
      <w:r w:rsidR="00D87EF6">
        <w:rPr>
          <w:rFonts w:ascii="Arial" w:hAnsi="Arial" w:cs="Arial"/>
          <w:sz w:val="22"/>
          <w:szCs w:val="22"/>
        </w:rPr>
        <w:t>s</w:t>
      </w:r>
      <w:r w:rsidR="002312FA" w:rsidRPr="00BD27B1">
        <w:rPr>
          <w:rFonts w:ascii="Arial" w:hAnsi="Arial" w:cs="Arial"/>
          <w:sz w:val="22"/>
          <w:szCs w:val="22"/>
        </w:rPr>
        <w:t xml:space="preserve"> of ‘Employees’ </w:t>
      </w:r>
      <w:r w:rsidR="00D87EF6">
        <w:rPr>
          <w:rFonts w:ascii="Arial" w:hAnsi="Arial" w:cs="Arial"/>
          <w:sz w:val="22"/>
          <w:szCs w:val="22"/>
        </w:rPr>
        <w:t xml:space="preserve">and ‘Job Applicants’ </w:t>
      </w:r>
      <w:r w:rsidR="002312FA" w:rsidRPr="00BD27B1">
        <w:rPr>
          <w:rFonts w:ascii="Arial" w:hAnsi="Arial" w:cs="Arial"/>
          <w:sz w:val="22"/>
          <w:szCs w:val="22"/>
        </w:rPr>
        <w:t xml:space="preserve">in each document so that </w:t>
      </w:r>
      <w:r w:rsidR="00D87EF6">
        <w:rPr>
          <w:rFonts w:ascii="Arial" w:hAnsi="Arial" w:cs="Arial"/>
          <w:sz w:val="22"/>
          <w:szCs w:val="22"/>
        </w:rPr>
        <w:t>they</w:t>
      </w:r>
      <w:r w:rsidR="002312FA" w:rsidRPr="00BD27B1">
        <w:rPr>
          <w:rFonts w:ascii="Arial" w:hAnsi="Arial" w:cs="Arial"/>
          <w:sz w:val="22"/>
          <w:szCs w:val="22"/>
        </w:rPr>
        <w:t xml:space="preserve"> </w:t>
      </w:r>
      <w:r w:rsidR="00D87EF6">
        <w:rPr>
          <w:rFonts w:ascii="Arial" w:hAnsi="Arial" w:cs="Arial"/>
          <w:sz w:val="22"/>
          <w:szCs w:val="22"/>
        </w:rPr>
        <w:t>reflect</w:t>
      </w:r>
      <w:r w:rsidR="002312FA" w:rsidRPr="00BD27B1">
        <w:rPr>
          <w:rFonts w:ascii="Arial" w:hAnsi="Arial" w:cs="Arial"/>
          <w:sz w:val="22"/>
          <w:szCs w:val="22"/>
        </w:rPr>
        <w:t xml:space="preserve"> the</w:t>
      </w:r>
      <w:r w:rsidR="009560AA" w:rsidRPr="00BD27B1">
        <w:rPr>
          <w:rFonts w:ascii="Arial" w:hAnsi="Arial" w:cs="Arial"/>
          <w:sz w:val="22"/>
          <w:szCs w:val="22"/>
        </w:rPr>
        <w:t xml:space="preserve"> makeup of the</w:t>
      </w:r>
      <w:r w:rsidR="002312FA" w:rsidRPr="00BD27B1">
        <w:rPr>
          <w:rFonts w:ascii="Arial" w:hAnsi="Arial" w:cs="Arial"/>
          <w:sz w:val="22"/>
          <w:szCs w:val="22"/>
        </w:rPr>
        <w:t xml:space="preserve">ir workforce. </w:t>
      </w:r>
    </w:p>
    <w:p w14:paraId="48B9491C" w14:textId="77777777" w:rsidR="00BF427C" w:rsidRDefault="00BF427C" w:rsidP="003C1AAC">
      <w:pPr>
        <w:pStyle w:val="ListParagraph"/>
        <w:jc w:val="both"/>
        <w:rPr>
          <w:rFonts w:ascii="Arial" w:eastAsia="Times New Roman" w:hAnsi="Arial" w:cs="Arial"/>
          <w:color w:val="000000"/>
          <w:sz w:val="22"/>
          <w:szCs w:val="22"/>
          <w:lang w:eastAsia="en-GB"/>
        </w:rPr>
      </w:pPr>
    </w:p>
    <w:p w14:paraId="073698A8" w14:textId="15F08F16" w:rsidR="002C291B" w:rsidRDefault="002C291B" w:rsidP="003C1AAC">
      <w:pPr>
        <w:numPr>
          <w:ilvl w:val="0"/>
          <w:numId w:val="8"/>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 xml:space="preserve">There </w:t>
      </w:r>
      <w:r w:rsidR="00590722">
        <w:rPr>
          <w:rFonts w:ascii="Arial" w:eastAsia="Times New Roman" w:hAnsi="Arial" w:cs="Arial"/>
          <w:color w:val="000000"/>
          <w:sz w:val="22"/>
          <w:szCs w:val="22"/>
          <w:lang w:eastAsia="en-GB"/>
        </w:rPr>
        <w:t>is</w:t>
      </w:r>
      <w:r w:rsidR="008D74D6">
        <w:rPr>
          <w:rFonts w:ascii="Arial" w:eastAsia="Times New Roman" w:hAnsi="Arial" w:cs="Arial"/>
          <w:color w:val="000000"/>
          <w:sz w:val="22"/>
          <w:szCs w:val="22"/>
          <w:lang w:eastAsia="en-GB"/>
        </w:rPr>
        <w:t xml:space="preserve">, </w:t>
      </w:r>
      <w:r w:rsidR="00590722">
        <w:rPr>
          <w:rFonts w:ascii="Arial" w:eastAsia="Times New Roman" w:hAnsi="Arial" w:cs="Arial"/>
          <w:color w:val="000000"/>
          <w:sz w:val="22"/>
          <w:szCs w:val="22"/>
          <w:lang w:eastAsia="en-GB"/>
        </w:rPr>
        <w:t>of course</w:t>
      </w:r>
      <w:r w:rsidR="008D74D6">
        <w:rPr>
          <w:rFonts w:ascii="Arial" w:eastAsia="Times New Roman" w:hAnsi="Arial" w:cs="Arial"/>
          <w:color w:val="000000"/>
          <w:sz w:val="22"/>
          <w:szCs w:val="22"/>
          <w:lang w:eastAsia="en-GB"/>
        </w:rPr>
        <w:t xml:space="preserve">, </w:t>
      </w:r>
      <w:r w:rsidR="00590722">
        <w:rPr>
          <w:rFonts w:ascii="Arial" w:eastAsia="Times New Roman" w:hAnsi="Arial" w:cs="Arial"/>
          <w:color w:val="000000"/>
          <w:sz w:val="22"/>
          <w:szCs w:val="22"/>
          <w:lang w:eastAsia="en-GB"/>
        </w:rPr>
        <w:t xml:space="preserve">no single ‘correct’ way of drafting </w:t>
      </w:r>
      <w:r w:rsidR="000B752E">
        <w:rPr>
          <w:rFonts w:ascii="Arial" w:eastAsia="Times New Roman" w:hAnsi="Arial" w:cs="Arial"/>
          <w:color w:val="000000"/>
          <w:sz w:val="22"/>
          <w:szCs w:val="22"/>
          <w:lang w:eastAsia="en-GB"/>
        </w:rPr>
        <w:t>GDPR documents</w:t>
      </w:r>
      <w:r>
        <w:rPr>
          <w:rFonts w:ascii="Arial" w:eastAsia="Times New Roman" w:hAnsi="Arial" w:cs="Arial"/>
          <w:color w:val="000000"/>
          <w:sz w:val="22"/>
          <w:szCs w:val="22"/>
          <w:lang w:eastAsia="en-GB"/>
        </w:rPr>
        <w:t xml:space="preserve">, </w:t>
      </w:r>
      <w:r w:rsidR="000B752E">
        <w:rPr>
          <w:rFonts w:ascii="Arial" w:eastAsia="Times New Roman" w:hAnsi="Arial" w:cs="Arial"/>
          <w:color w:val="000000"/>
          <w:sz w:val="22"/>
          <w:szCs w:val="22"/>
          <w:lang w:eastAsia="en-GB"/>
        </w:rPr>
        <w:t xml:space="preserve">and employment </w:t>
      </w:r>
      <w:r w:rsidR="00BD27B1">
        <w:rPr>
          <w:rFonts w:ascii="Arial" w:eastAsia="Times New Roman" w:hAnsi="Arial" w:cs="Arial"/>
          <w:color w:val="000000"/>
          <w:sz w:val="22"/>
          <w:szCs w:val="22"/>
          <w:lang w:eastAsia="en-GB"/>
        </w:rPr>
        <w:t xml:space="preserve">and data protection </w:t>
      </w:r>
      <w:r w:rsidR="000B752E">
        <w:rPr>
          <w:rFonts w:ascii="Arial" w:eastAsia="Times New Roman" w:hAnsi="Arial" w:cs="Arial"/>
          <w:color w:val="000000"/>
          <w:sz w:val="22"/>
          <w:szCs w:val="22"/>
          <w:lang w:eastAsia="en-GB"/>
        </w:rPr>
        <w:t>lawyers produc</w:t>
      </w:r>
      <w:r w:rsidR="0074054F">
        <w:rPr>
          <w:rFonts w:ascii="Arial" w:eastAsia="Times New Roman" w:hAnsi="Arial" w:cs="Arial"/>
          <w:color w:val="000000"/>
          <w:sz w:val="22"/>
          <w:szCs w:val="22"/>
          <w:lang w:eastAsia="en-GB"/>
        </w:rPr>
        <w:t>e</w:t>
      </w:r>
      <w:r w:rsidR="000B752E">
        <w:rPr>
          <w:rFonts w:ascii="Arial" w:eastAsia="Times New Roman" w:hAnsi="Arial" w:cs="Arial"/>
          <w:color w:val="000000"/>
          <w:sz w:val="22"/>
          <w:szCs w:val="22"/>
          <w:lang w:eastAsia="en-GB"/>
        </w:rPr>
        <w:t xml:space="preserve"> templates that vary significantly from one another. </w:t>
      </w:r>
      <w:r w:rsidR="00CF1E64">
        <w:rPr>
          <w:rFonts w:ascii="Arial" w:eastAsia="Times New Roman" w:hAnsi="Arial" w:cs="Arial"/>
          <w:color w:val="000000"/>
          <w:sz w:val="22"/>
          <w:szCs w:val="22"/>
          <w:lang w:eastAsia="en-GB"/>
        </w:rPr>
        <w:t xml:space="preserve">Wherever possible, </w:t>
      </w:r>
      <w:r w:rsidR="00E27C5E">
        <w:rPr>
          <w:rFonts w:ascii="Arial" w:eastAsia="Times New Roman" w:hAnsi="Arial" w:cs="Arial"/>
          <w:color w:val="000000"/>
          <w:sz w:val="22"/>
          <w:szCs w:val="22"/>
          <w:lang w:eastAsia="en-GB"/>
        </w:rPr>
        <w:t xml:space="preserve">Make UK </w:t>
      </w:r>
      <w:r w:rsidR="000B752E">
        <w:rPr>
          <w:rFonts w:ascii="Arial" w:eastAsia="Times New Roman" w:hAnsi="Arial" w:cs="Arial"/>
          <w:color w:val="000000"/>
          <w:sz w:val="22"/>
          <w:szCs w:val="22"/>
          <w:lang w:eastAsia="en-GB"/>
        </w:rPr>
        <w:t xml:space="preserve">aims </w:t>
      </w:r>
      <w:r>
        <w:rPr>
          <w:rFonts w:ascii="Arial" w:eastAsia="Times New Roman" w:hAnsi="Arial" w:cs="Arial"/>
          <w:color w:val="000000"/>
          <w:sz w:val="22"/>
          <w:szCs w:val="22"/>
          <w:lang w:eastAsia="en-GB"/>
        </w:rPr>
        <w:t xml:space="preserve">to keep the documentation as simple and workable as possible, </w:t>
      </w:r>
      <w:r w:rsidR="000B752E">
        <w:rPr>
          <w:rFonts w:ascii="Arial" w:eastAsia="Times New Roman" w:hAnsi="Arial" w:cs="Arial"/>
          <w:color w:val="000000"/>
          <w:sz w:val="22"/>
          <w:szCs w:val="22"/>
          <w:lang w:eastAsia="en-GB"/>
        </w:rPr>
        <w:t>tak</w:t>
      </w:r>
      <w:r w:rsidR="008C1CB1">
        <w:rPr>
          <w:rFonts w:ascii="Arial" w:eastAsia="Times New Roman" w:hAnsi="Arial" w:cs="Arial"/>
          <w:color w:val="000000"/>
          <w:sz w:val="22"/>
          <w:szCs w:val="22"/>
          <w:lang w:eastAsia="en-GB"/>
        </w:rPr>
        <w:t xml:space="preserve">ing </w:t>
      </w:r>
      <w:r w:rsidR="000B752E">
        <w:rPr>
          <w:rFonts w:ascii="Arial" w:eastAsia="Times New Roman" w:hAnsi="Arial" w:cs="Arial"/>
          <w:color w:val="000000"/>
          <w:sz w:val="22"/>
          <w:szCs w:val="22"/>
          <w:lang w:eastAsia="en-GB"/>
        </w:rPr>
        <w:t xml:space="preserve">a pragmatic approach to the difficulties thrown up by </w:t>
      </w:r>
      <w:r w:rsidR="008D74D6">
        <w:rPr>
          <w:rFonts w:ascii="Arial" w:eastAsia="Times New Roman" w:hAnsi="Arial" w:cs="Arial"/>
          <w:color w:val="000000"/>
          <w:sz w:val="22"/>
          <w:szCs w:val="22"/>
          <w:lang w:eastAsia="en-GB"/>
        </w:rPr>
        <w:t>the complexities of the data protection reg</w:t>
      </w:r>
      <w:r w:rsidR="00DF3E16">
        <w:rPr>
          <w:rFonts w:ascii="Arial" w:eastAsia="Times New Roman" w:hAnsi="Arial" w:cs="Arial"/>
          <w:color w:val="000000"/>
          <w:sz w:val="22"/>
          <w:szCs w:val="22"/>
          <w:lang w:eastAsia="en-GB"/>
        </w:rPr>
        <w:t>i</w:t>
      </w:r>
      <w:r w:rsidR="008D74D6">
        <w:rPr>
          <w:rFonts w:ascii="Arial" w:eastAsia="Times New Roman" w:hAnsi="Arial" w:cs="Arial"/>
          <w:color w:val="000000"/>
          <w:sz w:val="22"/>
          <w:szCs w:val="22"/>
          <w:lang w:eastAsia="en-GB"/>
        </w:rPr>
        <w:t xml:space="preserve">me and </w:t>
      </w:r>
      <w:r w:rsidR="00616953">
        <w:rPr>
          <w:rFonts w:ascii="Arial" w:eastAsia="Times New Roman" w:hAnsi="Arial" w:cs="Arial"/>
          <w:color w:val="000000"/>
          <w:sz w:val="22"/>
          <w:szCs w:val="22"/>
          <w:lang w:eastAsia="en-GB"/>
        </w:rPr>
        <w:t xml:space="preserve">the </w:t>
      </w:r>
      <w:r w:rsidR="000B752E">
        <w:rPr>
          <w:rFonts w:ascii="Arial" w:eastAsia="Times New Roman" w:hAnsi="Arial" w:cs="Arial"/>
          <w:color w:val="000000"/>
          <w:sz w:val="22"/>
          <w:szCs w:val="22"/>
          <w:lang w:eastAsia="en-GB"/>
        </w:rPr>
        <w:t xml:space="preserve">different </w:t>
      </w:r>
      <w:r w:rsidR="00616953">
        <w:rPr>
          <w:rFonts w:ascii="Arial" w:eastAsia="Times New Roman" w:hAnsi="Arial" w:cs="Arial"/>
          <w:color w:val="000000"/>
          <w:sz w:val="22"/>
          <w:szCs w:val="22"/>
          <w:lang w:eastAsia="en-GB"/>
        </w:rPr>
        <w:t xml:space="preserve">possible </w:t>
      </w:r>
      <w:r w:rsidR="000B752E">
        <w:rPr>
          <w:rFonts w:ascii="Arial" w:eastAsia="Times New Roman" w:hAnsi="Arial" w:cs="Arial"/>
          <w:color w:val="000000"/>
          <w:sz w:val="22"/>
          <w:szCs w:val="22"/>
          <w:lang w:eastAsia="en-GB"/>
        </w:rPr>
        <w:t>interpretations of the GDPR</w:t>
      </w:r>
      <w:r w:rsidR="00375038">
        <w:rPr>
          <w:rFonts w:ascii="Arial" w:eastAsia="Times New Roman" w:hAnsi="Arial" w:cs="Arial"/>
          <w:color w:val="000000"/>
          <w:sz w:val="22"/>
          <w:szCs w:val="22"/>
          <w:lang w:eastAsia="en-GB"/>
        </w:rPr>
        <w:t>.</w:t>
      </w:r>
      <w:r w:rsidR="000B752E">
        <w:rPr>
          <w:rFonts w:ascii="Arial" w:eastAsia="Times New Roman" w:hAnsi="Arial" w:cs="Arial"/>
          <w:color w:val="000000"/>
          <w:sz w:val="22"/>
          <w:szCs w:val="22"/>
          <w:lang w:eastAsia="en-GB"/>
        </w:rPr>
        <w:t xml:space="preserve"> </w:t>
      </w:r>
    </w:p>
    <w:p w14:paraId="548B2492" w14:textId="77777777" w:rsidR="003952ED" w:rsidRDefault="003952ED" w:rsidP="003C1AAC">
      <w:pPr>
        <w:pStyle w:val="ListParagraph"/>
        <w:jc w:val="both"/>
        <w:rPr>
          <w:rFonts w:ascii="Arial" w:eastAsia="Times New Roman" w:hAnsi="Arial" w:cs="Arial"/>
          <w:color w:val="000000"/>
          <w:sz w:val="22"/>
          <w:szCs w:val="22"/>
          <w:lang w:eastAsia="en-GB"/>
        </w:rPr>
      </w:pPr>
    </w:p>
    <w:p w14:paraId="7906D013" w14:textId="14F56180" w:rsidR="00A860E9" w:rsidRDefault="00CF1E64" w:rsidP="003C1AAC">
      <w:pPr>
        <w:numPr>
          <w:ilvl w:val="0"/>
          <w:numId w:val="8"/>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 xml:space="preserve">We </w:t>
      </w:r>
      <w:r w:rsidR="00BF427C">
        <w:rPr>
          <w:rFonts w:ascii="Arial" w:eastAsia="Times New Roman" w:hAnsi="Arial" w:cs="Arial"/>
          <w:color w:val="000000"/>
          <w:sz w:val="22"/>
          <w:szCs w:val="22"/>
          <w:lang w:eastAsia="en-GB"/>
        </w:rPr>
        <w:t xml:space="preserve">aim to be consistent </w:t>
      </w:r>
      <w:r w:rsidR="000B752E">
        <w:rPr>
          <w:rFonts w:ascii="Arial" w:eastAsia="Times New Roman" w:hAnsi="Arial" w:cs="Arial"/>
          <w:color w:val="000000"/>
          <w:sz w:val="22"/>
          <w:szCs w:val="22"/>
          <w:lang w:eastAsia="en-GB"/>
        </w:rPr>
        <w:t xml:space="preserve">throughout </w:t>
      </w:r>
      <w:proofErr w:type="gramStart"/>
      <w:r w:rsidR="000B752E">
        <w:rPr>
          <w:rFonts w:ascii="Arial" w:eastAsia="Times New Roman" w:hAnsi="Arial" w:cs="Arial"/>
          <w:color w:val="000000"/>
          <w:sz w:val="22"/>
          <w:szCs w:val="22"/>
          <w:lang w:eastAsia="en-GB"/>
        </w:rPr>
        <w:t>all of</w:t>
      </w:r>
      <w:proofErr w:type="gramEnd"/>
      <w:r w:rsidR="000B752E">
        <w:rPr>
          <w:rFonts w:ascii="Arial" w:eastAsia="Times New Roman" w:hAnsi="Arial" w:cs="Arial"/>
          <w:color w:val="000000"/>
          <w:sz w:val="22"/>
          <w:szCs w:val="22"/>
          <w:lang w:eastAsia="en-GB"/>
        </w:rPr>
        <w:t xml:space="preserve"> the </w:t>
      </w:r>
      <w:r w:rsidR="008D74D6">
        <w:rPr>
          <w:rFonts w:ascii="Arial" w:eastAsia="Times New Roman" w:hAnsi="Arial" w:cs="Arial"/>
          <w:color w:val="000000"/>
          <w:sz w:val="22"/>
          <w:szCs w:val="22"/>
          <w:lang w:eastAsia="en-GB"/>
        </w:rPr>
        <w:t xml:space="preserve">template </w:t>
      </w:r>
      <w:r w:rsidR="000B752E">
        <w:rPr>
          <w:rFonts w:ascii="Arial" w:eastAsia="Times New Roman" w:hAnsi="Arial" w:cs="Arial"/>
          <w:color w:val="000000"/>
          <w:sz w:val="22"/>
          <w:szCs w:val="22"/>
          <w:lang w:eastAsia="en-GB"/>
        </w:rPr>
        <w:t xml:space="preserve">documents </w:t>
      </w:r>
      <w:r w:rsidR="00BF427C">
        <w:rPr>
          <w:rFonts w:ascii="Arial" w:eastAsia="Times New Roman" w:hAnsi="Arial" w:cs="Arial"/>
          <w:color w:val="000000"/>
          <w:sz w:val="22"/>
          <w:szCs w:val="22"/>
          <w:lang w:eastAsia="en-GB"/>
        </w:rPr>
        <w:t xml:space="preserve">in our use of </w:t>
      </w:r>
      <w:r w:rsidR="000B752E">
        <w:rPr>
          <w:rFonts w:ascii="Arial" w:eastAsia="Times New Roman" w:hAnsi="Arial" w:cs="Arial"/>
          <w:color w:val="000000"/>
          <w:sz w:val="22"/>
          <w:szCs w:val="22"/>
          <w:lang w:eastAsia="en-GB"/>
        </w:rPr>
        <w:t xml:space="preserve">data protection/GDPR </w:t>
      </w:r>
      <w:r w:rsidR="00BF427C">
        <w:rPr>
          <w:rFonts w:ascii="Arial" w:eastAsia="Times New Roman" w:hAnsi="Arial" w:cs="Arial"/>
          <w:color w:val="000000"/>
          <w:sz w:val="22"/>
          <w:szCs w:val="22"/>
          <w:lang w:eastAsia="en-GB"/>
        </w:rPr>
        <w:t xml:space="preserve">definitions and language. </w:t>
      </w:r>
      <w:r w:rsidR="00590722">
        <w:rPr>
          <w:rFonts w:ascii="Arial" w:eastAsia="Times New Roman" w:hAnsi="Arial" w:cs="Arial"/>
          <w:color w:val="000000"/>
          <w:sz w:val="22"/>
          <w:szCs w:val="22"/>
          <w:lang w:eastAsia="en-GB"/>
        </w:rPr>
        <w:t xml:space="preserve">However, </w:t>
      </w:r>
      <w:r w:rsidR="00D263B5">
        <w:rPr>
          <w:rFonts w:ascii="Arial" w:eastAsia="Times New Roman" w:hAnsi="Arial" w:cs="Arial"/>
          <w:color w:val="000000"/>
          <w:sz w:val="22"/>
          <w:szCs w:val="22"/>
          <w:lang w:eastAsia="en-GB"/>
        </w:rPr>
        <w:t xml:space="preserve">where possible, </w:t>
      </w:r>
      <w:r w:rsidR="00590722">
        <w:rPr>
          <w:rFonts w:ascii="Arial" w:eastAsia="Times New Roman" w:hAnsi="Arial" w:cs="Arial"/>
          <w:color w:val="000000"/>
          <w:sz w:val="22"/>
          <w:szCs w:val="22"/>
          <w:lang w:eastAsia="en-GB"/>
        </w:rPr>
        <w:t>the l</w:t>
      </w:r>
      <w:r w:rsidR="003952ED" w:rsidRPr="00FD24E2">
        <w:rPr>
          <w:rFonts w:ascii="Arial" w:eastAsia="Times New Roman" w:hAnsi="Arial" w:cs="Arial"/>
          <w:color w:val="000000"/>
          <w:sz w:val="22"/>
          <w:szCs w:val="22"/>
          <w:lang w:eastAsia="en-GB"/>
        </w:rPr>
        <w:t xml:space="preserve">anguage of </w:t>
      </w:r>
      <w:r w:rsidR="00590722">
        <w:rPr>
          <w:rFonts w:ascii="Arial" w:eastAsia="Times New Roman" w:hAnsi="Arial" w:cs="Arial"/>
          <w:color w:val="000000"/>
          <w:sz w:val="22"/>
          <w:szCs w:val="22"/>
          <w:lang w:eastAsia="en-GB"/>
        </w:rPr>
        <w:t xml:space="preserve">the </w:t>
      </w:r>
      <w:r w:rsidR="003952ED" w:rsidRPr="00FD24E2">
        <w:rPr>
          <w:rFonts w:ascii="Arial" w:eastAsia="Times New Roman" w:hAnsi="Arial" w:cs="Arial"/>
          <w:color w:val="000000"/>
          <w:sz w:val="22"/>
          <w:szCs w:val="22"/>
          <w:lang w:eastAsia="en-GB"/>
        </w:rPr>
        <w:t>employee</w:t>
      </w:r>
      <w:r w:rsidR="00327BFB">
        <w:rPr>
          <w:rFonts w:ascii="Arial" w:eastAsia="Times New Roman" w:hAnsi="Arial" w:cs="Arial"/>
          <w:color w:val="000000"/>
          <w:sz w:val="22"/>
          <w:szCs w:val="22"/>
          <w:lang w:eastAsia="en-GB"/>
        </w:rPr>
        <w:t>-</w:t>
      </w:r>
      <w:r w:rsidR="003952ED" w:rsidRPr="00FD24E2">
        <w:rPr>
          <w:rFonts w:ascii="Arial" w:eastAsia="Times New Roman" w:hAnsi="Arial" w:cs="Arial"/>
          <w:color w:val="000000"/>
          <w:sz w:val="22"/>
          <w:szCs w:val="22"/>
          <w:lang w:eastAsia="en-GB"/>
        </w:rPr>
        <w:t>facing doc</w:t>
      </w:r>
      <w:r w:rsidR="00590722">
        <w:rPr>
          <w:rFonts w:ascii="Arial" w:eastAsia="Times New Roman" w:hAnsi="Arial" w:cs="Arial"/>
          <w:color w:val="000000"/>
          <w:sz w:val="22"/>
          <w:szCs w:val="22"/>
          <w:lang w:eastAsia="en-GB"/>
        </w:rPr>
        <w:t xml:space="preserve">uments (the </w:t>
      </w:r>
      <w:r w:rsidR="0036024B">
        <w:rPr>
          <w:rFonts w:ascii="Arial" w:eastAsia="Times New Roman" w:hAnsi="Arial" w:cs="Arial"/>
          <w:color w:val="000000"/>
          <w:sz w:val="22"/>
          <w:szCs w:val="22"/>
          <w:lang w:eastAsia="en-GB"/>
        </w:rPr>
        <w:t xml:space="preserve">Employee </w:t>
      </w:r>
      <w:r w:rsidR="00590722">
        <w:rPr>
          <w:rFonts w:ascii="Arial" w:eastAsia="Times New Roman" w:hAnsi="Arial" w:cs="Arial"/>
          <w:color w:val="000000"/>
          <w:sz w:val="22"/>
          <w:szCs w:val="22"/>
          <w:lang w:eastAsia="en-GB"/>
        </w:rPr>
        <w:t xml:space="preserve">Privacy </w:t>
      </w:r>
      <w:r w:rsidR="00327BFB">
        <w:rPr>
          <w:rFonts w:ascii="Arial" w:eastAsia="Times New Roman" w:hAnsi="Arial" w:cs="Arial"/>
          <w:color w:val="000000"/>
          <w:sz w:val="22"/>
          <w:szCs w:val="22"/>
          <w:lang w:eastAsia="en-GB"/>
        </w:rPr>
        <w:t>N</w:t>
      </w:r>
      <w:r w:rsidR="00590722">
        <w:rPr>
          <w:rFonts w:ascii="Arial" w:eastAsia="Times New Roman" w:hAnsi="Arial" w:cs="Arial"/>
          <w:color w:val="000000"/>
          <w:sz w:val="22"/>
          <w:szCs w:val="22"/>
          <w:lang w:eastAsia="en-GB"/>
        </w:rPr>
        <w:t xml:space="preserve">otice, </w:t>
      </w:r>
      <w:r w:rsidR="00DF3E16">
        <w:rPr>
          <w:rFonts w:ascii="Arial" w:eastAsia="Times New Roman" w:hAnsi="Arial" w:cs="Arial"/>
          <w:color w:val="000000"/>
          <w:sz w:val="22"/>
          <w:szCs w:val="22"/>
          <w:lang w:eastAsia="en-GB"/>
        </w:rPr>
        <w:t xml:space="preserve">the Job Applicant Privacy </w:t>
      </w:r>
      <w:proofErr w:type="gramStart"/>
      <w:r w:rsidR="00DF3E16">
        <w:rPr>
          <w:rFonts w:ascii="Arial" w:eastAsia="Times New Roman" w:hAnsi="Arial" w:cs="Arial"/>
          <w:color w:val="000000"/>
          <w:sz w:val="22"/>
          <w:szCs w:val="22"/>
          <w:lang w:eastAsia="en-GB"/>
        </w:rPr>
        <w:t>Notice</w:t>
      </w:r>
      <w:proofErr w:type="gramEnd"/>
      <w:r w:rsidR="00877053">
        <w:rPr>
          <w:rFonts w:ascii="Arial" w:eastAsia="Times New Roman" w:hAnsi="Arial" w:cs="Arial"/>
          <w:color w:val="000000"/>
          <w:sz w:val="22"/>
          <w:szCs w:val="22"/>
          <w:lang w:eastAsia="en-GB"/>
        </w:rPr>
        <w:t xml:space="preserve"> and</w:t>
      </w:r>
      <w:r w:rsidR="00DF3E16">
        <w:rPr>
          <w:rFonts w:ascii="Arial" w:eastAsia="Times New Roman" w:hAnsi="Arial" w:cs="Arial"/>
          <w:color w:val="000000"/>
          <w:sz w:val="22"/>
          <w:szCs w:val="22"/>
          <w:lang w:eastAsia="en-GB"/>
        </w:rPr>
        <w:t xml:space="preserve"> </w:t>
      </w:r>
      <w:r w:rsidR="00736FC0">
        <w:rPr>
          <w:rFonts w:ascii="Arial" w:eastAsia="Times New Roman" w:hAnsi="Arial" w:cs="Arial"/>
          <w:color w:val="000000"/>
          <w:sz w:val="22"/>
          <w:szCs w:val="22"/>
          <w:lang w:eastAsia="en-GB"/>
        </w:rPr>
        <w:t xml:space="preserve">the </w:t>
      </w:r>
      <w:r w:rsidR="00590722">
        <w:rPr>
          <w:rFonts w:ascii="Arial" w:eastAsia="Times New Roman" w:hAnsi="Arial" w:cs="Arial"/>
          <w:color w:val="000000"/>
          <w:sz w:val="22"/>
          <w:szCs w:val="22"/>
          <w:lang w:eastAsia="en-GB"/>
        </w:rPr>
        <w:t xml:space="preserve">Data </w:t>
      </w:r>
      <w:r w:rsidR="00327BFB">
        <w:rPr>
          <w:rFonts w:ascii="Arial" w:eastAsia="Times New Roman" w:hAnsi="Arial" w:cs="Arial"/>
          <w:color w:val="000000"/>
          <w:sz w:val="22"/>
          <w:szCs w:val="22"/>
          <w:lang w:eastAsia="en-GB"/>
        </w:rPr>
        <w:t>P</w:t>
      </w:r>
      <w:r w:rsidR="00590722">
        <w:rPr>
          <w:rFonts w:ascii="Arial" w:eastAsia="Times New Roman" w:hAnsi="Arial" w:cs="Arial"/>
          <w:color w:val="000000"/>
          <w:sz w:val="22"/>
          <w:szCs w:val="22"/>
          <w:lang w:eastAsia="en-GB"/>
        </w:rPr>
        <w:t xml:space="preserve">rotection </w:t>
      </w:r>
      <w:r w:rsidR="00327BFB">
        <w:rPr>
          <w:rFonts w:ascii="Arial" w:eastAsia="Times New Roman" w:hAnsi="Arial" w:cs="Arial"/>
          <w:color w:val="000000"/>
          <w:sz w:val="22"/>
          <w:szCs w:val="22"/>
          <w:lang w:eastAsia="en-GB"/>
        </w:rPr>
        <w:t>P</w:t>
      </w:r>
      <w:r w:rsidR="00590722">
        <w:rPr>
          <w:rFonts w:ascii="Arial" w:eastAsia="Times New Roman" w:hAnsi="Arial" w:cs="Arial"/>
          <w:color w:val="000000"/>
          <w:sz w:val="22"/>
          <w:szCs w:val="22"/>
          <w:lang w:eastAsia="en-GB"/>
        </w:rPr>
        <w:t>olicy) i</w:t>
      </w:r>
      <w:r w:rsidR="004D4333">
        <w:rPr>
          <w:rFonts w:ascii="Arial" w:eastAsia="Times New Roman" w:hAnsi="Arial" w:cs="Arial"/>
          <w:color w:val="000000"/>
          <w:sz w:val="22"/>
          <w:szCs w:val="22"/>
          <w:lang w:eastAsia="en-GB"/>
        </w:rPr>
        <w:t>s</w:t>
      </w:r>
      <w:r w:rsidR="00327BFB">
        <w:rPr>
          <w:rFonts w:ascii="Arial" w:eastAsia="Times New Roman" w:hAnsi="Arial" w:cs="Arial"/>
          <w:color w:val="000000"/>
          <w:sz w:val="22"/>
          <w:szCs w:val="22"/>
          <w:lang w:eastAsia="en-GB"/>
        </w:rPr>
        <w:t xml:space="preserve"> </w:t>
      </w:r>
      <w:r w:rsidR="00590722">
        <w:rPr>
          <w:rFonts w:ascii="Arial" w:eastAsia="Times New Roman" w:hAnsi="Arial" w:cs="Arial"/>
          <w:color w:val="000000"/>
          <w:sz w:val="22"/>
          <w:szCs w:val="22"/>
          <w:lang w:eastAsia="en-GB"/>
        </w:rPr>
        <w:t xml:space="preserve">deliberately </w:t>
      </w:r>
      <w:r w:rsidR="003952ED" w:rsidRPr="00FD24E2">
        <w:rPr>
          <w:rFonts w:ascii="Arial" w:eastAsia="Times New Roman" w:hAnsi="Arial" w:cs="Arial"/>
          <w:color w:val="000000"/>
          <w:sz w:val="22"/>
          <w:szCs w:val="22"/>
          <w:lang w:eastAsia="en-GB"/>
        </w:rPr>
        <w:t>less technical</w:t>
      </w:r>
      <w:r w:rsidR="002A0F98">
        <w:rPr>
          <w:rFonts w:ascii="Arial" w:eastAsia="Times New Roman" w:hAnsi="Arial" w:cs="Arial"/>
          <w:color w:val="000000"/>
          <w:sz w:val="22"/>
          <w:szCs w:val="22"/>
          <w:lang w:eastAsia="en-GB"/>
        </w:rPr>
        <w:t>, to ensure that E</w:t>
      </w:r>
      <w:r w:rsidR="008B7B01">
        <w:rPr>
          <w:rFonts w:ascii="Arial" w:eastAsia="Times New Roman" w:hAnsi="Arial" w:cs="Arial"/>
          <w:color w:val="000000"/>
          <w:sz w:val="22"/>
          <w:szCs w:val="22"/>
          <w:lang w:eastAsia="en-GB"/>
        </w:rPr>
        <w:t>mployees and Job A</w:t>
      </w:r>
      <w:r w:rsidR="002A0F98">
        <w:rPr>
          <w:rFonts w:ascii="Arial" w:eastAsia="Times New Roman" w:hAnsi="Arial" w:cs="Arial"/>
          <w:color w:val="000000"/>
          <w:sz w:val="22"/>
          <w:szCs w:val="22"/>
          <w:lang w:eastAsia="en-GB"/>
        </w:rPr>
        <w:t>pplicants u</w:t>
      </w:r>
      <w:r w:rsidR="00DC4D83">
        <w:rPr>
          <w:rFonts w:ascii="Arial" w:eastAsia="Times New Roman" w:hAnsi="Arial" w:cs="Arial"/>
          <w:color w:val="000000"/>
          <w:sz w:val="22"/>
          <w:szCs w:val="22"/>
          <w:lang w:eastAsia="en-GB"/>
        </w:rPr>
        <w:t xml:space="preserve">nderstand what information is held about them and what is done with it, as required by the legislation. </w:t>
      </w:r>
    </w:p>
    <w:p w14:paraId="15695D58" w14:textId="77777777" w:rsidR="00A860E9" w:rsidRDefault="00A860E9" w:rsidP="00A860E9">
      <w:pPr>
        <w:pStyle w:val="ListParagraph"/>
        <w:rPr>
          <w:rFonts w:ascii="Arial" w:eastAsia="Times New Roman" w:hAnsi="Arial" w:cs="Arial"/>
          <w:color w:val="000000"/>
          <w:sz w:val="22"/>
          <w:szCs w:val="22"/>
          <w:lang w:eastAsia="en-GB"/>
        </w:rPr>
      </w:pPr>
    </w:p>
    <w:p w14:paraId="062EB6F0" w14:textId="12C2E03F" w:rsidR="003952ED" w:rsidRDefault="004867C8" w:rsidP="003C1AAC">
      <w:pPr>
        <w:numPr>
          <w:ilvl w:val="0"/>
          <w:numId w:val="8"/>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In addition, w</w:t>
      </w:r>
      <w:r w:rsidR="00A860E9">
        <w:rPr>
          <w:rFonts w:ascii="Arial" w:eastAsia="Times New Roman" w:hAnsi="Arial" w:cs="Arial"/>
          <w:color w:val="000000"/>
          <w:sz w:val="22"/>
          <w:szCs w:val="22"/>
          <w:lang w:eastAsia="en-GB"/>
        </w:rPr>
        <w:t xml:space="preserve">here we think it will assist </w:t>
      </w:r>
      <w:r w:rsidR="00D87EF6">
        <w:rPr>
          <w:rFonts w:ascii="Arial" w:eastAsia="Times New Roman" w:hAnsi="Arial" w:cs="Arial"/>
          <w:color w:val="000000"/>
          <w:sz w:val="22"/>
          <w:szCs w:val="22"/>
          <w:lang w:eastAsia="en-GB"/>
        </w:rPr>
        <w:t xml:space="preserve">people’s </w:t>
      </w:r>
      <w:r w:rsidR="00A860E9">
        <w:rPr>
          <w:rFonts w:ascii="Arial" w:eastAsia="Times New Roman" w:hAnsi="Arial" w:cs="Arial"/>
          <w:color w:val="000000"/>
          <w:sz w:val="22"/>
          <w:szCs w:val="22"/>
          <w:lang w:eastAsia="en-GB"/>
        </w:rPr>
        <w:t xml:space="preserve">understanding, we have used some terms that do not appear in the GDPR. For example, the GDPR </w:t>
      </w:r>
      <w:r w:rsidR="00934B96">
        <w:rPr>
          <w:rFonts w:ascii="Arial" w:eastAsia="Times New Roman" w:hAnsi="Arial" w:cs="Arial"/>
          <w:color w:val="000000"/>
          <w:sz w:val="22"/>
          <w:szCs w:val="22"/>
          <w:lang w:eastAsia="en-GB"/>
        </w:rPr>
        <w:t xml:space="preserve">treats special category personal data differently from other personal data but does not have a particular name for </w:t>
      </w:r>
      <w:r w:rsidR="008C0D54">
        <w:rPr>
          <w:rFonts w:ascii="Arial" w:eastAsia="Times New Roman" w:hAnsi="Arial" w:cs="Arial"/>
          <w:color w:val="000000"/>
          <w:sz w:val="22"/>
          <w:szCs w:val="22"/>
          <w:lang w:eastAsia="en-GB"/>
        </w:rPr>
        <w:t xml:space="preserve">this other </w:t>
      </w:r>
      <w:r w:rsidR="00934B96">
        <w:rPr>
          <w:rFonts w:ascii="Arial" w:eastAsia="Times New Roman" w:hAnsi="Arial" w:cs="Arial"/>
          <w:color w:val="000000"/>
          <w:sz w:val="22"/>
          <w:szCs w:val="22"/>
          <w:lang w:eastAsia="en-GB"/>
        </w:rPr>
        <w:t xml:space="preserve">personal data. </w:t>
      </w:r>
      <w:proofErr w:type="gramStart"/>
      <w:r w:rsidR="00934B96">
        <w:rPr>
          <w:rFonts w:ascii="Arial" w:eastAsia="Times New Roman" w:hAnsi="Arial" w:cs="Arial"/>
          <w:color w:val="000000"/>
          <w:sz w:val="22"/>
          <w:szCs w:val="22"/>
          <w:lang w:eastAsia="en-GB"/>
        </w:rPr>
        <w:t>In order to</w:t>
      </w:r>
      <w:proofErr w:type="gramEnd"/>
      <w:r w:rsidR="00934B96">
        <w:rPr>
          <w:rFonts w:ascii="Arial" w:eastAsia="Times New Roman" w:hAnsi="Arial" w:cs="Arial"/>
          <w:color w:val="000000"/>
          <w:sz w:val="22"/>
          <w:szCs w:val="22"/>
          <w:lang w:eastAsia="en-GB"/>
        </w:rPr>
        <w:t xml:space="preserve"> make the distinction clear, we have used the term </w:t>
      </w:r>
      <w:r w:rsidR="003F2220">
        <w:rPr>
          <w:rFonts w:ascii="Arial" w:eastAsia="Times New Roman" w:hAnsi="Arial" w:cs="Arial"/>
          <w:color w:val="000000"/>
          <w:sz w:val="22"/>
          <w:szCs w:val="22"/>
          <w:lang w:eastAsia="en-GB"/>
        </w:rPr>
        <w:t>‘</w:t>
      </w:r>
      <w:r w:rsidR="00934B96">
        <w:rPr>
          <w:rFonts w:ascii="Arial" w:eastAsia="Times New Roman" w:hAnsi="Arial" w:cs="Arial"/>
          <w:color w:val="000000"/>
          <w:sz w:val="22"/>
          <w:szCs w:val="22"/>
          <w:lang w:eastAsia="en-GB"/>
        </w:rPr>
        <w:t>ordinary personal data</w:t>
      </w:r>
      <w:r w:rsidR="003F2220">
        <w:rPr>
          <w:rFonts w:ascii="Arial" w:eastAsia="Times New Roman" w:hAnsi="Arial" w:cs="Arial"/>
          <w:color w:val="000000"/>
          <w:sz w:val="22"/>
          <w:szCs w:val="22"/>
          <w:lang w:eastAsia="en-GB"/>
        </w:rPr>
        <w:t>’</w:t>
      </w:r>
      <w:r w:rsidR="00934B96">
        <w:rPr>
          <w:rFonts w:ascii="Arial" w:eastAsia="Times New Roman" w:hAnsi="Arial" w:cs="Arial"/>
          <w:color w:val="000000"/>
          <w:sz w:val="22"/>
          <w:szCs w:val="22"/>
          <w:lang w:eastAsia="en-GB"/>
        </w:rPr>
        <w:t xml:space="preserve"> for personal data that is not special category data. </w:t>
      </w:r>
      <w:r w:rsidR="000F20E1">
        <w:rPr>
          <w:rFonts w:ascii="Arial" w:eastAsia="Times New Roman" w:hAnsi="Arial" w:cs="Arial"/>
          <w:color w:val="000000"/>
          <w:sz w:val="22"/>
          <w:szCs w:val="22"/>
          <w:lang w:eastAsia="en-GB"/>
        </w:rPr>
        <w:t>(</w:t>
      </w:r>
      <w:r w:rsidR="000F20E1" w:rsidRPr="0022321E">
        <w:rPr>
          <w:rFonts w:ascii="Arial" w:eastAsia="Times New Roman" w:hAnsi="Arial" w:cs="Arial"/>
          <w:color w:val="000000"/>
          <w:sz w:val="22"/>
          <w:szCs w:val="22"/>
          <w:lang w:eastAsia="en-GB"/>
        </w:rPr>
        <w:t xml:space="preserve">Note that data relating to criminal offences/criminal records is not considered special category data under the UK GDPR, but </w:t>
      </w:r>
      <w:r w:rsidR="000F20E1">
        <w:rPr>
          <w:rFonts w:ascii="Arial" w:eastAsia="Times New Roman" w:hAnsi="Arial" w:cs="Arial"/>
          <w:color w:val="000000"/>
          <w:sz w:val="22"/>
          <w:szCs w:val="22"/>
          <w:lang w:eastAsia="en-GB"/>
        </w:rPr>
        <w:t>in general it is included in the definition of special category data in these template documents</w:t>
      </w:r>
      <w:r w:rsidR="000F20E1" w:rsidRPr="0022321E">
        <w:rPr>
          <w:rFonts w:ascii="Arial" w:eastAsia="Times New Roman" w:hAnsi="Arial" w:cs="Arial"/>
          <w:color w:val="000000"/>
          <w:sz w:val="22"/>
          <w:szCs w:val="22"/>
          <w:lang w:eastAsia="en-GB"/>
        </w:rPr>
        <w:t xml:space="preserve"> because similar restrictions apply to its processing under the DPA 2018.</w:t>
      </w:r>
      <w:r w:rsidR="000F20E1">
        <w:rPr>
          <w:rFonts w:ascii="Arial" w:eastAsia="Times New Roman" w:hAnsi="Arial" w:cs="Arial"/>
          <w:color w:val="000000"/>
          <w:sz w:val="22"/>
          <w:szCs w:val="22"/>
          <w:lang w:eastAsia="en-GB"/>
        </w:rPr>
        <w:t>) In addition</w:t>
      </w:r>
      <w:r w:rsidR="00934B96">
        <w:rPr>
          <w:rFonts w:ascii="Arial" w:eastAsia="Times New Roman" w:hAnsi="Arial" w:cs="Arial"/>
          <w:color w:val="000000"/>
          <w:sz w:val="22"/>
          <w:szCs w:val="22"/>
          <w:lang w:eastAsia="en-GB"/>
        </w:rPr>
        <w:t xml:space="preserve">, whereas the GDPR </w:t>
      </w:r>
      <w:r w:rsidR="00A860E9">
        <w:rPr>
          <w:rFonts w:ascii="Arial" w:eastAsia="Times New Roman" w:hAnsi="Arial" w:cs="Arial"/>
          <w:color w:val="000000"/>
          <w:sz w:val="22"/>
          <w:szCs w:val="22"/>
          <w:lang w:eastAsia="en-GB"/>
        </w:rPr>
        <w:t xml:space="preserve">refers </w:t>
      </w:r>
      <w:r w:rsidR="00736895">
        <w:rPr>
          <w:rFonts w:ascii="Arial" w:eastAsia="Times New Roman" w:hAnsi="Arial" w:cs="Arial"/>
          <w:color w:val="000000"/>
          <w:sz w:val="22"/>
          <w:szCs w:val="22"/>
          <w:lang w:eastAsia="en-GB"/>
        </w:rPr>
        <w:t xml:space="preserve">to </w:t>
      </w:r>
      <w:r w:rsidR="00934B96">
        <w:rPr>
          <w:rFonts w:ascii="Arial" w:eastAsia="Times New Roman" w:hAnsi="Arial" w:cs="Arial"/>
          <w:color w:val="000000"/>
          <w:sz w:val="22"/>
          <w:szCs w:val="22"/>
          <w:lang w:eastAsia="en-GB"/>
        </w:rPr>
        <w:t>the</w:t>
      </w:r>
      <w:r w:rsidR="00A860E9">
        <w:rPr>
          <w:rFonts w:ascii="Arial" w:eastAsia="Times New Roman" w:hAnsi="Arial" w:cs="Arial"/>
          <w:color w:val="000000"/>
          <w:sz w:val="22"/>
          <w:szCs w:val="22"/>
          <w:lang w:eastAsia="en-GB"/>
        </w:rPr>
        <w:t xml:space="preserve"> ‘</w:t>
      </w:r>
      <w:r w:rsidR="00E84BE6">
        <w:rPr>
          <w:rFonts w:ascii="Arial" w:eastAsia="Times New Roman" w:hAnsi="Arial" w:cs="Arial"/>
          <w:color w:val="000000"/>
          <w:sz w:val="22"/>
          <w:szCs w:val="22"/>
          <w:lang w:eastAsia="en-GB"/>
        </w:rPr>
        <w:t xml:space="preserve">lawful </w:t>
      </w:r>
      <w:proofErr w:type="spellStart"/>
      <w:proofErr w:type="gramStart"/>
      <w:r w:rsidR="00A860E9">
        <w:rPr>
          <w:rFonts w:ascii="Arial" w:eastAsia="Times New Roman" w:hAnsi="Arial" w:cs="Arial"/>
          <w:color w:val="000000"/>
          <w:sz w:val="22"/>
          <w:szCs w:val="22"/>
          <w:lang w:eastAsia="en-GB"/>
        </w:rPr>
        <w:t>basis’</w:t>
      </w:r>
      <w:proofErr w:type="spellEnd"/>
      <w:proofErr w:type="gramEnd"/>
      <w:r w:rsidR="00A860E9">
        <w:rPr>
          <w:rFonts w:ascii="Arial" w:eastAsia="Times New Roman" w:hAnsi="Arial" w:cs="Arial"/>
          <w:color w:val="000000"/>
          <w:sz w:val="22"/>
          <w:szCs w:val="22"/>
          <w:lang w:eastAsia="en-GB"/>
        </w:rPr>
        <w:t xml:space="preserve"> for processing personal data</w:t>
      </w:r>
      <w:r w:rsidR="00757151">
        <w:rPr>
          <w:rFonts w:ascii="Arial" w:eastAsia="Times New Roman" w:hAnsi="Arial" w:cs="Arial"/>
          <w:color w:val="000000"/>
          <w:sz w:val="22"/>
          <w:szCs w:val="22"/>
          <w:lang w:eastAsia="en-GB"/>
        </w:rPr>
        <w:t xml:space="preserve"> and further ‘special category conditions’ for processing special category data</w:t>
      </w:r>
      <w:r w:rsidR="00934B96">
        <w:rPr>
          <w:rFonts w:ascii="Arial" w:eastAsia="Times New Roman" w:hAnsi="Arial" w:cs="Arial"/>
          <w:color w:val="000000"/>
          <w:sz w:val="22"/>
          <w:szCs w:val="22"/>
          <w:lang w:eastAsia="en-GB"/>
        </w:rPr>
        <w:t>, our employee-facing documents refer to ‘legal grounds’</w:t>
      </w:r>
      <w:r w:rsidR="00757151">
        <w:rPr>
          <w:rFonts w:ascii="Arial" w:eastAsia="Times New Roman" w:hAnsi="Arial" w:cs="Arial"/>
          <w:color w:val="000000"/>
          <w:sz w:val="22"/>
          <w:szCs w:val="22"/>
          <w:lang w:eastAsia="en-GB"/>
        </w:rPr>
        <w:t xml:space="preserve"> and ‘additional legal grounds’</w:t>
      </w:r>
      <w:r w:rsidR="00934B96">
        <w:rPr>
          <w:rFonts w:ascii="Arial" w:eastAsia="Times New Roman" w:hAnsi="Arial" w:cs="Arial"/>
          <w:color w:val="000000"/>
          <w:sz w:val="22"/>
          <w:szCs w:val="22"/>
          <w:lang w:eastAsia="en-GB"/>
        </w:rPr>
        <w:t>.</w:t>
      </w:r>
    </w:p>
    <w:p w14:paraId="492CD0FB" w14:textId="77777777" w:rsidR="00DF6BB7" w:rsidRDefault="00DF6BB7" w:rsidP="00DF6BB7">
      <w:pPr>
        <w:pStyle w:val="ListParagraph"/>
        <w:rPr>
          <w:rFonts w:ascii="Arial" w:eastAsia="Times New Roman" w:hAnsi="Arial" w:cs="Arial"/>
          <w:color w:val="000000"/>
          <w:sz w:val="22"/>
          <w:szCs w:val="22"/>
          <w:lang w:eastAsia="en-GB"/>
        </w:rPr>
      </w:pPr>
    </w:p>
    <w:p w14:paraId="33818637" w14:textId="6DB3F15A" w:rsidR="009A7ED2" w:rsidRPr="00021FCB" w:rsidRDefault="00DF6BB7" w:rsidP="00394F4D">
      <w:pPr>
        <w:numPr>
          <w:ilvl w:val="0"/>
          <w:numId w:val="8"/>
        </w:numPr>
        <w:jc w:val="both"/>
        <w:rPr>
          <w:rFonts w:ascii="Arial" w:eastAsia="Times New Roman" w:hAnsi="Arial" w:cs="Arial"/>
          <w:color w:val="000000"/>
          <w:sz w:val="22"/>
          <w:szCs w:val="22"/>
          <w:lang w:eastAsia="en-GB"/>
        </w:rPr>
      </w:pPr>
      <w:r w:rsidRPr="00021FCB">
        <w:rPr>
          <w:rFonts w:ascii="Arial" w:eastAsia="Times New Roman" w:hAnsi="Arial" w:cs="Arial"/>
          <w:color w:val="000000"/>
          <w:sz w:val="22"/>
          <w:szCs w:val="22"/>
          <w:lang w:eastAsia="en-GB"/>
        </w:rPr>
        <w:t>Note that where we refer to the Data Protection Officer, we are referring to an official GDPR Data Protection Officer, not someone who simply has some responsibility for data protection in the organisation. Only use this term if you have appointed a Data Protection Officer within the meaning of the GDPR.</w:t>
      </w:r>
    </w:p>
    <w:p w14:paraId="1C9DE973" w14:textId="5B9B4879" w:rsidR="00F441BC" w:rsidRDefault="00F441BC" w:rsidP="00F441BC">
      <w:pPr>
        <w:pStyle w:val="ListParagraph"/>
        <w:rPr>
          <w:rFonts w:ascii="Arial" w:hAnsi="Arial" w:cs="Arial"/>
          <w:sz w:val="22"/>
          <w:szCs w:val="22"/>
        </w:rPr>
      </w:pPr>
    </w:p>
    <w:p w14:paraId="71119500" w14:textId="2FF151C8" w:rsidR="00F441BC" w:rsidRDefault="00DC4D83" w:rsidP="00F441BC">
      <w:pPr>
        <w:numPr>
          <w:ilvl w:val="0"/>
          <w:numId w:val="8"/>
        </w:numPr>
        <w:jc w:val="both"/>
        <w:rPr>
          <w:rFonts w:ascii="Arial" w:hAnsi="Arial" w:cs="Arial"/>
          <w:b/>
          <w:sz w:val="22"/>
          <w:szCs w:val="22"/>
        </w:rPr>
      </w:pPr>
      <w:r w:rsidRPr="00F441BC">
        <w:rPr>
          <w:rFonts w:ascii="Arial" w:hAnsi="Arial" w:cs="Arial"/>
          <w:sz w:val="22"/>
          <w:szCs w:val="22"/>
        </w:rPr>
        <w:t xml:space="preserve">We </w:t>
      </w:r>
      <w:r w:rsidR="00D92637" w:rsidRPr="00F441BC">
        <w:rPr>
          <w:rFonts w:ascii="Arial" w:hAnsi="Arial" w:cs="Arial"/>
          <w:sz w:val="22"/>
          <w:szCs w:val="22"/>
        </w:rPr>
        <w:t>have</w:t>
      </w:r>
      <w:r w:rsidR="00920F22">
        <w:rPr>
          <w:rFonts w:ascii="Arial" w:hAnsi="Arial" w:cs="Arial"/>
          <w:sz w:val="22"/>
          <w:szCs w:val="22"/>
        </w:rPr>
        <w:t xml:space="preserve"> </w:t>
      </w:r>
      <w:r w:rsidR="00D92637" w:rsidRPr="00F441BC">
        <w:rPr>
          <w:rFonts w:ascii="Arial" w:hAnsi="Arial" w:cs="Arial"/>
          <w:sz w:val="22"/>
          <w:szCs w:val="22"/>
        </w:rPr>
        <w:t>pre</w:t>
      </w:r>
      <w:r w:rsidRPr="00F441BC">
        <w:rPr>
          <w:rFonts w:ascii="Arial" w:hAnsi="Arial" w:cs="Arial"/>
          <w:sz w:val="22"/>
          <w:szCs w:val="22"/>
        </w:rPr>
        <w:t>sented the documents in a text/print-</w:t>
      </w:r>
      <w:r w:rsidR="00D92637" w:rsidRPr="00F441BC">
        <w:rPr>
          <w:rFonts w:ascii="Arial" w:hAnsi="Arial" w:cs="Arial"/>
          <w:sz w:val="22"/>
          <w:szCs w:val="22"/>
        </w:rPr>
        <w:t>out format. However, they could, depending on the employer’s technological capabilities, be presented in a more user</w:t>
      </w:r>
      <w:r w:rsidR="00327BFB" w:rsidRPr="00F441BC">
        <w:rPr>
          <w:rFonts w:ascii="Arial" w:hAnsi="Arial" w:cs="Arial"/>
          <w:sz w:val="22"/>
          <w:szCs w:val="22"/>
        </w:rPr>
        <w:t>-</w:t>
      </w:r>
      <w:r w:rsidR="00D92637" w:rsidRPr="00F441BC">
        <w:rPr>
          <w:rFonts w:ascii="Arial" w:hAnsi="Arial" w:cs="Arial"/>
          <w:sz w:val="22"/>
          <w:szCs w:val="22"/>
        </w:rPr>
        <w:t xml:space="preserve">friendly form online, </w:t>
      </w:r>
      <w:proofErr w:type="gramStart"/>
      <w:r w:rsidR="00D92637" w:rsidRPr="00F441BC">
        <w:rPr>
          <w:rFonts w:ascii="Arial" w:hAnsi="Arial" w:cs="Arial"/>
          <w:sz w:val="22"/>
          <w:szCs w:val="22"/>
        </w:rPr>
        <w:t>e</w:t>
      </w:r>
      <w:r w:rsidR="00327BFB" w:rsidRPr="00F441BC">
        <w:rPr>
          <w:rFonts w:ascii="Arial" w:hAnsi="Arial" w:cs="Arial"/>
          <w:sz w:val="22"/>
          <w:szCs w:val="22"/>
        </w:rPr>
        <w:t>.</w:t>
      </w:r>
      <w:r w:rsidR="00D92637" w:rsidRPr="00F441BC">
        <w:rPr>
          <w:rFonts w:ascii="Arial" w:hAnsi="Arial" w:cs="Arial"/>
          <w:sz w:val="22"/>
          <w:szCs w:val="22"/>
        </w:rPr>
        <w:t>g</w:t>
      </w:r>
      <w:r w:rsidR="00327BFB" w:rsidRPr="00F441BC">
        <w:rPr>
          <w:rFonts w:ascii="Arial" w:hAnsi="Arial" w:cs="Arial"/>
          <w:sz w:val="22"/>
          <w:szCs w:val="22"/>
        </w:rPr>
        <w:t>.</w:t>
      </w:r>
      <w:proofErr w:type="gramEnd"/>
      <w:r w:rsidR="00D92637" w:rsidRPr="00F441BC">
        <w:rPr>
          <w:rFonts w:ascii="Arial" w:hAnsi="Arial" w:cs="Arial"/>
          <w:sz w:val="22"/>
          <w:szCs w:val="22"/>
        </w:rPr>
        <w:t xml:space="preserve"> </w:t>
      </w:r>
      <w:r w:rsidR="002A0F98">
        <w:rPr>
          <w:rFonts w:ascii="Arial" w:hAnsi="Arial" w:cs="Arial"/>
          <w:sz w:val="22"/>
          <w:szCs w:val="22"/>
        </w:rPr>
        <w:t xml:space="preserve">using </w:t>
      </w:r>
      <w:r w:rsidR="00D92637" w:rsidRPr="00F441BC">
        <w:rPr>
          <w:rFonts w:ascii="Arial" w:hAnsi="Arial" w:cs="Arial"/>
          <w:sz w:val="22"/>
          <w:szCs w:val="22"/>
        </w:rPr>
        <w:t>drop down boxes, links between documents</w:t>
      </w:r>
      <w:r w:rsidR="00327BFB" w:rsidRPr="00F441BC">
        <w:rPr>
          <w:rFonts w:ascii="Arial" w:hAnsi="Arial" w:cs="Arial"/>
          <w:sz w:val="22"/>
          <w:szCs w:val="22"/>
        </w:rPr>
        <w:t>,</w:t>
      </w:r>
      <w:r w:rsidR="00D92637" w:rsidRPr="00F441BC">
        <w:rPr>
          <w:rFonts w:ascii="Arial" w:hAnsi="Arial" w:cs="Arial"/>
          <w:sz w:val="22"/>
          <w:szCs w:val="22"/>
        </w:rPr>
        <w:t xml:space="preserve"> et</w:t>
      </w:r>
      <w:r w:rsidR="00FC0153" w:rsidRPr="00F441BC">
        <w:rPr>
          <w:rFonts w:ascii="Arial" w:hAnsi="Arial" w:cs="Arial"/>
          <w:sz w:val="22"/>
          <w:szCs w:val="22"/>
        </w:rPr>
        <w:t>c. Also note that in respect of certain documentation (</w:t>
      </w:r>
      <w:proofErr w:type="gramStart"/>
      <w:r w:rsidR="00FC0153" w:rsidRPr="00F441BC">
        <w:rPr>
          <w:rFonts w:ascii="Arial" w:hAnsi="Arial" w:cs="Arial"/>
          <w:sz w:val="22"/>
          <w:szCs w:val="22"/>
        </w:rPr>
        <w:t>e</w:t>
      </w:r>
      <w:r w:rsidR="00F441BC">
        <w:rPr>
          <w:rFonts w:ascii="Arial" w:hAnsi="Arial" w:cs="Arial"/>
          <w:sz w:val="22"/>
          <w:szCs w:val="22"/>
        </w:rPr>
        <w:t>.</w:t>
      </w:r>
      <w:r w:rsidR="00FC0153" w:rsidRPr="00F441BC">
        <w:rPr>
          <w:rFonts w:ascii="Arial" w:hAnsi="Arial" w:cs="Arial"/>
          <w:sz w:val="22"/>
          <w:szCs w:val="22"/>
        </w:rPr>
        <w:t>g</w:t>
      </w:r>
      <w:r w:rsidR="00F441BC">
        <w:rPr>
          <w:rFonts w:ascii="Arial" w:hAnsi="Arial" w:cs="Arial"/>
          <w:sz w:val="22"/>
          <w:szCs w:val="22"/>
        </w:rPr>
        <w:t>.</w:t>
      </w:r>
      <w:proofErr w:type="gramEnd"/>
      <w:r w:rsidR="00FC0153" w:rsidRPr="00F441BC">
        <w:rPr>
          <w:rFonts w:ascii="Arial" w:hAnsi="Arial" w:cs="Arial"/>
          <w:sz w:val="22"/>
          <w:szCs w:val="22"/>
        </w:rPr>
        <w:t xml:space="preserve"> the </w:t>
      </w:r>
      <w:r w:rsidR="00E159B5">
        <w:rPr>
          <w:rFonts w:ascii="Arial" w:hAnsi="Arial" w:cs="Arial"/>
          <w:sz w:val="22"/>
          <w:szCs w:val="22"/>
        </w:rPr>
        <w:t xml:space="preserve">Employee </w:t>
      </w:r>
      <w:r w:rsidR="00FC0153" w:rsidRPr="00F441BC">
        <w:rPr>
          <w:rFonts w:ascii="Arial" w:hAnsi="Arial" w:cs="Arial"/>
          <w:sz w:val="22"/>
          <w:szCs w:val="22"/>
        </w:rPr>
        <w:t xml:space="preserve">Privacy Notice), guidance on the GDPR requires that data controllers consider the most appropriate medium, based on what the data subject will most easily be able to access. </w:t>
      </w:r>
    </w:p>
    <w:p w14:paraId="4A8E11FE" w14:textId="77777777" w:rsidR="00F441BC" w:rsidRDefault="00F441BC" w:rsidP="00F441BC">
      <w:pPr>
        <w:pStyle w:val="ListParagraph"/>
        <w:rPr>
          <w:rFonts w:ascii="Arial" w:eastAsia="Times New Roman" w:hAnsi="Arial" w:cs="Arial"/>
          <w:color w:val="000000"/>
          <w:sz w:val="22"/>
          <w:szCs w:val="22"/>
          <w:lang w:eastAsia="en-GB"/>
        </w:rPr>
      </w:pPr>
    </w:p>
    <w:p w14:paraId="475513D1" w14:textId="54137913" w:rsidR="0078693A" w:rsidRPr="00D87EF6" w:rsidRDefault="005A7205" w:rsidP="00025680">
      <w:pPr>
        <w:numPr>
          <w:ilvl w:val="0"/>
          <w:numId w:val="8"/>
        </w:numPr>
        <w:jc w:val="both"/>
        <w:rPr>
          <w:rFonts w:ascii="Arial" w:eastAsia="Times New Roman" w:hAnsi="Arial" w:cs="Arial"/>
          <w:b/>
          <w:color w:val="000000"/>
          <w:sz w:val="22"/>
          <w:szCs w:val="22"/>
          <w:lang w:eastAsia="en-GB"/>
        </w:rPr>
      </w:pPr>
      <w:r w:rsidRPr="00D87EF6">
        <w:rPr>
          <w:rFonts w:ascii="Arial" w:eastAsia="Times New Roman" w:hAnsi="Arial" w:cs="Arial"/>
          <w:color w:val="000000"/>
          <w:sz w:val="22"/>
          <w:szCs w:val="22"/>
          <w:lang w:eastAsia="en-GB"/>
        </w:rPr>
        <w:t xml:space="preserve">The template documentation </w:t>
      </w:r>
      <w:r w:rsidR="000F20E1">
        <w:rPr>
          <w:rFonts w:ascii="Arial" w:eastAsia="Times New Roman" w:hAnsi="Arial" w:cs="Arial"/>
          <w:color w:val="000000"/>
          <w:sz w:val="22"/>
          <w:szCs w:val="22"/>
          <w:lang w:eastAsia="en-GB"/>
        </w:rPr>
        <w:t>aims to satisfy</w:t>
      </w:r>
      <w:r w:rsidR="000F20E1" w:rsidRPr="00D87EF6">
        <w:rPr>
          <w:rFonts w:ascii="Arial" w:eastAsia="Times New Roman" w:hAnsi="Arial" w:cs="Arial"/>
          <w:color w:val="000000"/>
          <w:sz w:val="22"/>
          <w:szCs w:val="22"/>
          <w:lang w:eastAsia="en-GB"/>
        </w:rPr>
        <w:t xml:space="preserve"> </w:t>
      </w:r>
      <w:r w:rsidR="00447F99" w:rsidRPr="00D87EF6">
        <w:rPr>
          <w:rFonts w:ascii="Arial" w:eastAsia="Times New Roman" w:hAnsi="Arial" w:cs="Arial"/>
          <w:color w:val="000000"/>
          <w:sz w:val="22"/>
          <w:szCs w:val="22"/>
          <w:lang w:eastAsia="en-GB"/>
        </w:rPr>
        <w:t xml:space="preserve">– in respect of HR-related data processing </w:t>
      </w:r>
      <w:r w:rsidR="00F441BC" w:rsidRPr="00D87EF6">
        <w:rPr>
          <w:rFonts w:ascii="Arial" w:eastAsia="Times New Roman" w:hAnsi="Arial" w:cs="Arial"/>
          <w:color w:val="000000"/>
          <w:sz w:val="22"/>
          <w:szCs w:val="22"/>
          <w:lang w:eastAsia="en-GB"/>
        </w:rPr>
        <w:t>–</w:t>
      </w:r>
      <w:r w:rsidR="00447F99" w:rsidRPr="00D87EF6">
        <w:rPr>
          <w:rFonts w:ascii="Arial" w:eastAsia="Times New Roman" w:hAnsi="Arial" w:cs="Arial"/>
          <w:color w:val="000000"/>
          <w:sz w:val="22"/>
          <w:szCs w:val="22"/>
          <w:lang w:eastAsia="en-GB"/>
        </w:rPr>
        <w:t xml:space="preserve"> </w:t>
      </w:r>
      <w:r w:rsidRPr="00D87EF6">
        <w:rPr>
          <w:rFonts w:ascii="Arial" w:eastAsia="Times New Roman" w:hAnsi="Arial" w:cs="Arial"/>
          <w:color w:val="000000"/>
          <w:sz w:val="22"/>
          <w:szCs w:val="22"/>
          <w:lang w:eastAsia="en-GB"/>
        </w:rPr>
        <w:t xml:space="preserve">the requirement in the </w:t>
      </w:r>
      <w:r w:rsidR="00AD548B">
        <w:rPr>
          <w:rFonts w:ascii="Arial" w:eastAsia="Times New Roman" w:hAnsi="Arial" w:cs="Arial"/>
          <w:color w:val="000000"/>
          <w:sz w:val="22"/>
          <w:szCs w:val="22"/>
          <w:lang w:eastAsia="en-GB"/>
        </w:rPr>
        <w:t>DPA 2018</w:t>
      </w:r>
      <w:r w:rsidR="00AD548B" w:rsidRPr="00D87EF6">
        <w:rPr>
          <w:rFonts w:ascii="Arial" w:eastAsia="Times New Roman" w:hAnsi="Arial" w:cs="Arial"/>
          <w:color w:val="000000"/>
          <w:sz w:val="22"/>
          <w:szCs w:val="22"/>
          <w:lang w:eastAsia="en-GB"/>
        </w:rPr>
        <w:t xml:space="preserve"> </w:t>
      </w:r>
      <w:r w:rsidRPr="00D87EF6">
        <w:rPr>
          <w:rFonts w:ascii="Arial" w:eastAsia="Times New Roman" w:hAnsi="Arial" w:cs="Arial"/>
          <w:color w:val="000000"/>
          <w:sz w:val="22"/>
          <w:szCs w:val="22"/>
          <w:lang w:eastAsia="en-GB"/>
        </w:rPr>
        <w:t xml:space="preserve">for </w:t>
      </w:r>
      <w:r w:rsidR="00466DF8" w:rsidRPr="00D87EF6">
        <w:rPr>
          <w:rFonts w:ascii="Arial" w:eastAsia="Times New Roman" w:hAnsi="Arial" w:cs="Arial"/>
          <w:color w:val="000000"/>
          <w:sz w:val="22"/>
          <w:szCs w:val="22"/>
          <w:lang w:eastAsia="en-GB"/>
        </w:rPr>
        <w:t>an employer to have in place an ‘appropriate policy document’</w:t>
      </w:r>
      <w:r w:rsidR="00447F99" w:rsidRPr="00D87EF6">
        <w:rPr>
          <w:rFonts w:ascii="Arial" w:eastAsia="Times New Roman" w:hAnsi="Arial" w:cs="Arial"/>
          <w:color w:val="000000"/>
          <w:sz w:val="22"/>
          <w:szCs w:val="22"/>
          <w:lang w:eastAsia="en-GB"/>
        </w:rPr>
        <w:t xml:space="preserve">, explaining safeguards that must be put in place when processing special category </w:t>
      </w:r>
      <w:r w:rsidR="0036024B" w:rsidRPr="00D87EF6">
        <w:rPr>
          <w:rFonts w:ascii="Arial" w:eastAsia="Times New Roman" w:hAnsi="Arial" w:cs="Arial"/>
          <w:color w:val="000000"/>
          <w:sz w:val="22"/>
          <w:szCs w:val="22"/>
          <w:lang w:eastAsia="en-GB"/>
        </w:rPr>
        <w:t xml:space="preserve">personal </w:t>
      </w:r>
      <w:r w:rsidR="00447F99" w:rsidRPr="00D87EF6">
        <w:rPr>
          <w:rFonts w:ascii="Arial" w:eastAsia="Times New Roman" w:hAnsi="Arial" w:cs="Arial"/>
          <w:color w:val="000000"/>
          <w:sz w:val="22"/>
          <w:szCs w:val="22"/>
          <w:lang w:eastAsia="en-GB"/>
        </w:rPr>
        <w:t>data</w:t>
      </w:r>
      <w:r w:rsidR="008B7B01">
        <w:rPr>
          <w:rFonts w:ascii="Arial" w:eastAsia="Times New Roman" w:hAnsi="Arial" w:cs="Arial"/>
          <w:color w:val="000000"/>
          <w:sz w:val="22"/>
          <w:szCs w:val="22"/>
          <w:lang w:eastAsia="en-GB"/>
        </w:rPr>
        <w:t xml:space="preserve"> in </w:t>
      </w:r>
      <w:r w:rsidR="008B7B01" w:rsidRPr="00D87EF6">
        <w:rPr>
          <w:rFonts w:ascii="Arial" w:eastAsia="Times New Roman" w:hAnsi="Arial" w:cs="Arial"/>
          <w:color w:val="000000"/>
          <w:sz w:val="22"/>
          <w:szCs w:val="22"/>
          <w:lang w:eastAsia="en-GB"/>
        </w:rPr>
        <w:t>certain</w:t>
      </w:r>
      <w:r w:rsidR="008B7B01">
        <w:rPr>
          <w:rFonts w:ascii="Arial" w:eastAsia="Times New Roman" w:hAnsi="Arial" w:cs="Arial"/>
          <w:color w:val="000000"/>
          <w:sz w:val="22"/>
          <w:szCs w:val="22"/>
          <w:lang w:eastAsia="en-GB"/>
        </w:rPr>
        <w:t xml:space="preserve"> circumstances</w:t>
      </w:r>
      <w:r w:rsidR="00447F99" w:rsidRPr="00D87EF6">
        <w:rPr>
          <w:rFonts w:ascii="Arial" w:eastAsia="Times New Roman" w:hAnsi="Arial" w:cs="Arial"/>
          <w:color w:val="000000"/>
          <w:sz w:val="22"/>
          <w:szCs w:val="22"/>
          <w:lang w:eastAsia="en-GB"/>
        </w:rPr>
        <w:t xml:space="preserve">. </w:t>
      </w:r>
      <w:r w:rsidR="000F20E1" w:rsidRPr="00257CC7">
        <w:rPr>
          <w:rFonts w:ascii="Arial" w:eastAsia="Times New Roman" w:hAnsi="Arial" w:cs="Arial"/>
          <w:color w:val="000000"/>
          <w:sz w:val="22"/>
          <w:szCs w:val="22"/>
          <w:lang w:eastAsia="en-GB"/>
        </w:rPr>
        <w:t xml:space="preserve">Having an appropriate policy document in place is required by the DPA 2018 where you are relying on special category certain lawful bases for processing, </w:t>
      </w:r>
      <w:proofErr w:type="gramStart"/>
      <w:r w:rsidR="000F20E1" w:rsidRPr="00257CC7">
        <w:rPr>
          <w:rFonts w:ascii="Arial" w:eastAsia="Times New Roman" w:hAnsi="Arial" w:cs="Arial"/>
          <w:color w:val="000000"/>
          <w:sz w:val="22"/>
          <w:szCs w:val="22"/>
          <w:lang w:eastAsia="en-GB"/>
        </w:rPr>
        <w:t>e.g.</w:t>
      </w:r>
      <w:proofErr w:type="gramEnd"/>
      <w:r w:rsidR="000F20E1" w:rsidRPr="00257CC7">
        <w:rPr>
          <w:rFonts w:ascii="Arial" w:eastAsia="Times New Roman" w:hAnsi="Arial" w:cs="Arial"/>
          <w:color w:val="000000"/>
          <w:sz w:val="22"/>
          <w:szCs w:val="22"/>
          <w:lang w:eastAsia="en-GB"/>
        </w:rPr>
        <w:t xml:space="preserve"> that the processing is necessary to comply with a legal obligation/exercise a legal right in relation to employment, or that the processing is necessary in the public interest for the purposes of equal opportunities monitoring. Note also that an appropriate policy document is required by the DPA 2018 if you are processing criminal offence data in reliance on the lawful basis that this is necessary for the prevention or detection of crime – as may be the case if you conduct criminal record checks during recruitment.</w:t>
      </w:r>
      <w:r w:rsidR="000F20E1" w:rsidRPr="00D87EF6">
        <w:rPr>
          <w:rFonts w:ascii="Arial" w:eastAsia="Times New Roman" w:hAnsi="Arial" w:cs="Arial"/>
          <w:color w:val="000000"/>
          <w:sz w:val="22"/>
          <w:szCs w:val="22"/>
          <w:lang w:eastAsia="en-GB"/>
        </w:rPr>
        <w:t xml:space="preserve"> </w:t>
      </w:r>
      <w:r w:rsidR="00616953" w:rsidRPr="00D87EF6">
        <w:rPr>
          <w:rFonts w:ascii="Arial" w:eastAsia="Times New Roman" w:hAnsi="Arial" w:cs="Arial"/>
          <w:color w:val="000000"/>
          <w:sz w:val="22"/>
          <w:szCs w:val="22"/>
          <w:lang w:eastAsia="en-GB"/>
        </w:rPr>
        <w:t>We take the view</w:t>
      </w:r>
      <w:r w:rsidR="00025680">
        <w:rPr>
          <w:rFonts w:ascii="Arial" w:eastAsia="Times New Roman" w:hAnsi="Arial" w:cs="Arial"/>
          <w:color w:val="000000"/>
          <w:sz w:val="22"/>
          <w:szCs w:val="22"/>
          <w:lang w:eastAsia="en-GB"/>
        </w:rPr>
        <w:t xml:space="preserve">, in accordance with ICO guidance on special category data which permits </w:t>
      </w:r>
      <w:r w:rsidR="00025680" w:rsidRPr="00025680">
        <w:rPr>
          <w:rFonts w:ascii="Arial" w:eastAsia="Times New Roman" w:hAnsi="Arial" w:cs="Arial"/>
          <w:color w:val="000000"/>
          <w:sz w:val="22"/>
          <w:szCs w:val="22"/>
          <w:lang w:eastAsia="en-GB"/>
        </w:rPr>
        <w:t>reference</w:t>
      </w:r>
      <w:r w:rsidR="00025680">
        <w:rPr>
          <w:rFonts w:ascii="Arial" w:eastAsia="Times New Roman" w:hAnsi="Arial" w:cs="Arial"/>
          <w:color w:val="000000"/>
          <w:sz w:val="22"/>
          <w:szCs w:val="22"/>
          <w:lang w:eastAsia="en-GB"/>
        </w:rPr>
        <w:t xml:space="preserve">s from the </w:t>
      </w:r>
      <w:r w:rsidR="00025680" w:rsidRPr="00D87EF6">
        <w:rPr>
          <w:rFonts w:ascii="Arial" w:eastAsia="Times New Roman" w:hAnsi="Arial" w:cs="Arial"/>
          <w:color w:val="000000"/>
          <w:sz w:val="22"/>
          <w:szCs w:val="22"/>
          <w:lang w:eastAsia="en-GB"/>
        </w:rPr>
        <w:t>‘appropriate policy document’</w:t>
      </w:r>
      <w:r w:rsidR="00025680">
        <w:rPr>
          <w:rFonts w:ascii="Arial" w:eastAsia="Times New Roman" w:hAnsi="Arial" w:cs="Arial"/>
          <w:color w:val="000000"/>
          <w:sz w:val="22"/>
          <w:szCs w:val="22"/>
          <w:lang w:eastAsia="en-GB"/>
        </w:rPr>
        <w:t xml:space="preserve"> to other</w:t>
      </w:r>
      <w:r w:rsidR="00025680" w:rsidRPr="00025680">
        <w:rPr>
          <w:rFonts w:ascii="Arial" w:eastAsia="Times New Roman" w:hAnsi="Arial" w:cs="Arial"/>
          <w:color w:val="000000"/>
          <w:sz w:val="22"/>
          <w:szCs w:val="22"/>
          <w:lang w:eastAsia="en-GB"/>
        </w:rPr>
        <w:t xml:space="preserve"> </w:t>
      </w:r>
      <w:r w:rsidR="00025680">
        <w:rPr>
          <w:rFonts w:ascii="Arial" w:eastAsia="Times New Roman" w:hAnsi="Arial" w:cs="Arial"/>
          <w:color w:val="000000"/>
          <w:sz w:val="22"/>
          <w:szCs w:val="22"/>
          <w:lang w:eastAsia="en-GB"/>
        </w:rPr>
        <w:t>relevant policies and procedures,</w:t>
      </w:r>
      <w:r w:rsidR="00616953" w:rsidRPr="00D87EF6">
        <w:rPr>
          <w:rFonts w:ascii="Arial" w:eastAsia="Times New Roman" w:hAnsi="Arial" w:cs="Arial"/>
          <w:color w:val="000000"/>
          <w:sz w:val="22"/>
          <w:szCs w:val="22"/>
          <w:lang w:eastAsia="en-GB"/>
        </w:rPr>
        <w:t xml:space="preserve"> that the information required in an </w:t>
      </w:r>
      <w:r w:rsidR="00F441BC" w:rsidRPr="00D87EF6">
        <w:rPr>
          <w:rFonts w:ascii="Arial" w:eastAsia="Times New Roman" w:hAnsi="Arial" w:cs="Arial"/>
          <w:color w:val="000000"/>
          <w:sz w:val="22"/>
          <w:szCs w:val="22"/>
          <w:lang w:eastAsia="en-GB"/>
        </w:rPr>
        <w:t>‘</w:t>
      </w:r>
      <w:r w:rsidR="00616953" w:rsidRPr="00D87EF6">
        <w:rPr>
          <w:rFonts w:ascii="Arial" w:eastAsia="Times New Roman" w:hAnsi="Arial" w:cs="Arial"/>
          <w:color w:val="000000"/>
          <w:sz w:val="22"/>
          <w:szCs w:val="22"/>
          <w:lang w:eastAsia="en-GB"/>
        </w:rPr>
        <w:t xml:space="preserve">appropriate </w:t>
      </w:r>
      <w:r w:rsidR="00F441BC" w:rsidRPr="00D87EF6">
        <w:rPr>
          <w:rFonts w:ascii="Arial" w:eastAsia="Times New Roman" w:hAnsi="Arial" w:cs="Arial"/>
          <w:color w:val="000000"/>
          <w:sz w:val="22"/>
          <w:szCs w:val="22"/>
          <w:lang w:eastAsia="en-GB"/>
        </w:rPr>
        <w:t>p</w:t>
      </w:r>
      <w:r w:rsidR="00616953" w:rsidRPr="00D87EF6">
        <w:rPr>
          <w:rFonts w:ascii="Arial" w:eastAsia="Times New Roman" w:hAnsi="Arial" w:cs="Arial"/>
          <w:color w:val="000000"/>
          <w:sz w:val="22"/>
          <w:szCs w:val="22"/>
          <w:lang w:eastAsia="en-GB"/>
        </w:rPr>
        <w:t>olicy document</w:t>
      </w:r>
      <w:r w:rsidR="00F441BC" w:rsidRPr="00D87EF6">
        <w:rPr>
          <w:rFonts w:ascii="Arial" w:eastAsia="Times New Roman" w:hAnsi="Arial" w:cs="Arial"/>
          <w:color w:val="000000"/>
          <w:sz w:val="22"/>
          <w:szCs w:val="22"/>
          <w:lang w:eastAsia="en-GB"/>
        </w:rPr>
        <w:t>’</w:t>
      </w:r>
      <w:r w:rsidR="00616953" w:rsidRPr="00D87EF6">
        <w:rPr>
          <w:rFonts w:ascii="Arial" w:eastAsia="Times New Roman" w:hAnsi="Arial" w:cs="Arial"/>
          <w:color w:val="000000"/>
          <w:sz w:val="22"/>
          <w:szCs w:val="22"/>
          <w:lang w:eastAsia="en-GB"/>
        </w:rPr>
        <w:t xml:space="preserve"> </w:t>
      </w:r>
      <w:r w:rsidR="00197FE8">
        <w:rPr>
          <w:rFonts w:ascii="Arial" w:eastAsia="Times New Roman" w:hAnsi="Arial" w:cs="Arial"/>
          <w:color w:val="000000"/>
          <w:sz w:val="22"/>
          <w:szCs w:val="22"/>
          <w:lang w:eastAsia="en-GB"/>
        </w:rPr>
        <w:t>does not need to be contained in a single document</w:t>
      </w:r>
      <w:r w:rsidR="00616953" w:rsidRPr="00D87EF6">
        <w:rPr>
          <w:rFonts w:ascii="Arial" w:eastAsia="Times New Roman" w:hAnsi="Arial" w:cs="Arial"/>
          <w:color w:val="000000"/>
          <w:sz w:val="22"/>
          <w:szCs w:val="22"/>
          <w:lang w:eastAsia="en-GB"/>
        </w:rPr>
        <w:t xml:space="preserve">. </w:t>
      </w:r>
      <w:r w:rsidR="00197FE8">
        <w:rPr>
          <w:rFonts w:ascii="Arial" w:eastAsia="Times New Roman" w:hAnsi="Arial" w:cs="Arial"/>
          <w:color w:val="000000"/>
          <w:sz w:val="22"/>
          <w:szCs w:val="22"/>
          <w:lang w:eastAsia="en-GB"/>
        </w:rPr>
        <w:t>In our template documentation, t</w:t>
      </w:r>
      <w:r w:rsidR="00447F99" w:rsidRPr="00D87EF6">
        <w:rPr>
          <w:rFonts w:ascii="Arial" w:eastAsia="Times New Roman" w:hAnsi="Arial" w:cs="Arial"/>
          <w:color w:val="000000"/>
          <w:sz w:val="22"/>
          <w:szCs w:val="22"/>
          <w:lang w:eastAsia="en-GB"/>
        </w:rPr>
        <w:t>he Data Protection Policy</w:t>
      </w:r>
      <w:r w:rsidR="00B9479B">
        <w:rPr>
          <w:rFonts w:ascii="Arial" w:eastAsia="Times New Roman" w:hAnsi="Arial" w:cs="Arial"/>
          <w:color w:val="000000"/>
          <w:sz w:val="22"/>
          <w:szCs w:val="22"/>
          <w:lang w:eastAsia="en-GB"/>
        </w:rPr>
        <w:t xml:space="preserve">, </w:t>
      </w:r>
      <w:r w:rsidR="0074054F">
        <w:rPr>
          <w:rFonts w:ascii="Arial" w:eastAsia="Times New Roman" w:hAnsi="Arial" w:cs="Arial"/>
          <w:color w:val="000000"/>
          <w:sz w:val="22"/>
          <w:szCs w:val="22"/>
          <w:lang w:eastAsia="en-GB"/>
        </w:rPr>
        <w:t xml:space="preserve">the </w:t>
      </w:r>
      <w:r w:rsidR="00B9479B">
        <w:rPr>
          <w:rFonts w:ascii="Arial" w:eastAsia="Times New Roman" w:hAnsi="Arial" w:cs="Arial"/>
          <w:color w:val="000000"/>
          <w:sz w:val="22"/>
          <w:szCs w:val="22"/>
          <w:lang w:eastAsia="en-GB"/>
        </w:rPr>
        <w:t xml:space="preserve">Employee Record of </w:t>
      </w:r>
      <w:proofErr w:type="gramStart"/>
      <w:r w:rsidR="00B9479B">
        <w:rPr>
          <w:rFonts w:ascii="Arial" w:eastAsia="Times New Roman" w:hAnsi="Arial" w:cs="Arial"/>
          <w:color w:val="000000"/>
          <w:sz w:val="22"/>
          <w:szCs w:val="22"/>
          <w:lang w:eastAsia="en-GB"/>
        </w:rPr>
        <w:t>Processing</w:t>
      </w:r>
      <w:proofErr w:type="gramEnd"/>
      <w:r w:rsidR="00447F99" w:rsidRPr="00D87EF6">
        <w:rPr>
          <w:rFonts w:ascii="Arial" w:eastAsia="Times New Roman" w:hAnsi="Arial" w:cs="Arial"/>
          <w:color w:val="000000"/>
          <w:sz w:val="22"/>
          <w:szCs w:val="22"/>
          <w:lang w:eastAsia="en-GB"/>
        </w:rPr>
        <w:t xml:space="preserve"> </w:t>
      </w:r>
      <w:r w:rsidR="00616953" w:rsidRPr="00D87EF6">
        <w:rPr>
          <w:rFonts w:ascii="Arial" w:eastAsia="Times New Roman" w:hAnsi="Arial" w:cs="Arial"/>
          <w:color w:val="000000"/>
          <w:sz w:val="22"/>
          <w:szCs w:val="22"/>
          <w:lang w:eastAsia="en-GB"/>
        </w:rPr>
        <w:t xml:space="preserve">and </w:t>
      </w:r>
      <w:r w:rsidR="00447F99" w:rsidRPr="00D87EF6">
        <w:rPr>
          <w:rFonts w:ascii="Arial" w:eastAsia="Times New Roman" w:hAnsi="Arial" w:cs="Arial"/>
          <w:color w:val="000000"/>
          <w:sz w:val="22"/>
          <w:szCs w:val="22"/>
          <w:lang w:eastAsia="en-GB"/>
        </w:rPr>
        <w:t xml:space="preserve">the </w:t>
      </w:r>
      <w:r w:rsidR="0036024B" w:rsidRPr="00D87EF6">
        <w:rPr>
          <w:rFonts w:ascii="Arial" w:eastAsia="Times New Roman" w:hAnsi="Arial" w:cs="Arial"/>
          <w:color w:val="000000"/>
          <w:sz w:val="22"/>
          <w:szCs w:val="22"/>
          <w:lang w:eastAsia="en-GB"/>
        </w:rPr>
        <w:t xml:space="preserve">Employee </w:t>
      </w:r>
      <w:r w:rsidR="00447F99" w:rsidRPr="00D87EF6">
        <w:rPr>
          <w:rFonts w:ascii="Arial" w:eastAsia="Times New Roman" w:hAnsi="Arial" w:cs="Arial"/>
          <w:color w:val="000000"/>
          <w:sz w:val="22"/>
          <w:szCs w:val="22"/>
          <w:lang w:eastAsia="en-GB"/>
        </w:rPr>
        <w:t xml:space="preserve">Data Retention </w:t>
      </w:r>
      <w:r w:rsidR="00877053" w:rsidRPr="00D87EF6">
        <w:rPr>
          <w:rFonts w:ascii="Arial" w:eastAsia="Times New Roman" w:hAnsi="Arial" w:cs="Arial"/>
          <w:color w:val="000000"/>
          <w:sz w:val="22"/>
          <w:szCs w:val="22"/>
          <w:lang w:eastAsia="en-GB"/>
        </w:rPr>
        <w:t>Process</w:t>
      </w:r>
      <w:r w:rsidR="00197FE8">
        <w:rPr>
          <w:rFonts w:ascii="Arial" w:eastAsia="Times New Roman" w:hAnsi="Arial" w:cs="Arial"/>
          <w:color w:val="000000"/>
          <w:sz w:val="22"/>
          <w:szCs w:val="22"/>
          <w:lang w:eastAsia="en-GB"/>
        </w:rPr>
        <w:t>, taken together,</w:t>
      </w:r>
      <w:r w:rsidR="000F20E1">
        <w:rPr>
          <w:rFonts w:ascii="Arial" w:eastAsia="Times New Roman" w:hAnsi="Arial" w:cs="Arial"/>
          <w:color w:val="000000"/>
          <w:sz w:val="22"/>
          <w:szCs w:val="22"/>
          <w:lang w:eastAsia="en-GB"/>
        </w:rPr>
        <w:t xml:space="preserve"> are intended to enable you to</w:t>
      </w:r>
      <w:r w:rsidR="00197FE8">
        <w:rPr>
          <w:rFonts w:ascii="Arial" w:eastAsia="Times New Roman" w:hAnsi="Arial" w:cs="Arial"/>
          <w:color w:val="000000"/>
          <w:sz w:val="22"/>
          <w:szCs w:val="22"/>
          <w:lang w:eastAsia="en-GB"/>
        </w:rPr>
        <w:t xml:space="preserve"> comply with the requirement for</w:t>
      </w:r>
      <w:r w:rsidR="00F441BC" w:rsidRPr="00D87EF6">
        <w:rPr>
          <w:rFonts w:ascii="Arial" w:eastAsia="Times New Roman" w:hAnsi="Arial" w:cs="Arial"/>
          <w:color w:val="000000"/>
          <w:sz w:val="22"/>
          <w:szCs w:val="22"/>
          <w:lang w:eastAsia="en-GB"/>
        </w:rPr>
        <w:t xml:space="preserve"> an</w:t>
      </w:r>
      <w:r w:rsidR="00447F99" w:rsidRPr="00D87EF6">
        <w:rPr>
          <w:rFonts w:ascii="Arial" w:eastAsia="Times New Roman" w:hAnsi="Arial" w:cs="Arial"/>
          <w:color w:val="000000"/>
          <w:sz w:val="22"/>
          <w:szCs w:val="22"/>
          <w:lang w:eastAsia="en-GB"/>
        </w:rPr>
        <w:t xml:space="preserve"> appropriate policy document</w:t>
      </w:r>
      <w:r w:rsidR="00214D77">
        <w:rPr>
          <w:rFonts w:ascii="Arial" w:eastAsia="Times New Roman" w:hAnsi="Arial" w:cs="Arial"/>
          <w:color w:val="000000"/>
          <w:sz w:val="22"/>
          <w:szCs w:val="22"/>
          <w:lang w:eastAsia="en-GB"/>
        </w:rPr>
        <w:t xml:space="preserve"> for HR-related personal data</w:t>
      </w:r>
      <w:r w:rsidR="00616953" w:rsidRPr="00D87EF6">
        <w:rPr>
          <w:rFonts w:ascii="Arial" w:eastAsia="Times New Roman" w:hAnsi="Arial" w:cs="Arial"/>
          <w:color w:val="000000"/>
          <w:sz w:val="22"/>
          <w:szCs w:val="22"/>
          <w:lang w:eastAsia="en-GB"/>
        </w:rPr>
        <w:t>.</w:t>
      </w:r>
      <w:r w:rsidR="00447F99" w:rsidRPr="00D87EF6">
        <w:rPr>
          <w:rFonts w:ascii="Arial" w:eastAsia="Times New Roman" w:hAnsi="Arial" w:cs="Arial"/>
          <w:color w:val="000000"/>
          <w:sz w:val="22"/>
          <w:szCs w:val="22"/>
          <w:lang w:eastAsia="en-GB"/>
        </w:rPr>
        <w:t xml:space="preserve"> </w:t>
      </w:r>
      <w:r w:rsidR="000F20E1" w:rsidRPr="00A24723">
        <w:rPr>
          <w:rFonts w:ascii="Arial" w:eastAsia="Times New Roman" w:hAnsi="Arial" w:cs="Arial"/>
          <w:color w:val="000000"/>
          <w:sz w:val="22"/>
          <w:szCs w:val="22"/>
          <w:lang w:eastAsia="en-GB"/>
        </w:rPr>
        <w:t>If you intend to use these documents as your appropriate policy document, it is especially important that you assess what you do in practice to comply with the GDPR and ensure that the content of these documents is an accurate reflection of your practices in respect of the processing of special category data.</w:t>
      </w:r>
    </w:p>
    <w:p w14:paraId="25E60AE6" w14:textId="77777777" w:rsidR="00D87EF6" w:rsidRDefault="00D87EF6" w:rsidP="00D87EF6">
      <w:pPr>
        <w:pStyle w:val="ListParagraph"/>
        <w:rPr>
          <w:rFonts w:ascii="Arial" w:eastAsia="Times New Roman" w:hAnsi="Arial" w:cs="Arial"/>
          <w:b/>
          <w:color w:val="000000"/>
          <w:sz w:val="22"/>
          <w:szCs w:val="22"/>
          <w:lang w:eastAsia="en-GB"/>
        </w:rPr>
      </w:pPr>
    </w:p>
    <w:p w14:paraId="053CE875" w14:textId="77777777" w:rsidR="0078693A" w:rsidRDefault="0036024B" w:rsidP="00F441BC">
      <w:pPr>
        <w:numPr>
          <w:ilvl w:val="0"/>
          <w:numId w:val="12"/>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lastRenderedPageBreak/>
        <w:t xml:space="preserve">Remember that data protection compliance is an ongoing obligation. </w:t>
      </w:r>
      <w:r w:rsidR="008340E6">
        <w:rPr>
          <w:rFonts w:ascii="Arial" w:eastAsia="Times New Roman" w:hAnsi="Arial" w:cs="Arial"/>
          <w:color w:val="000000"/>
          <w:sz w:val="22"/>
          <w:szCs w:val="22"/>
          <w:lang w:eastAsia="en-GB"/>
        </w:rPr>
        <w:t xml:space="preserve">All </w:t>
      </w:r>
      <w:r>
        <w:rPr>
          <w:rFonts w:ascii="Arial" w:eastAsia="Times New Roman" w:hAnsi="Arial" w:cs="Arial"/>
          <w:color w:val="000000"/>
          <w:sz w:val="22"/>
          <w:szCs w:val="22"/>
          <w:lang w:eastAsia="en-GB"/>
        </w:rPr>
        <w:t xml:space="preserve">of the </w:t>
      </w:r>
      <w:r w:rsidR="008340E6">
        <w:rPr>
          <w:rFonts w:ascii="Arial" w:eastAsia="Times New Roman" w:hAnsi="Arial" w:cs="Arial"/>
          <w:color w:val="000000"/>
          <w:sz w:val="22"/>
          <w:szCs w:val="22"/>
          <w:lang w:eastAsia="en-GB"/>
        </w:rPr>
        <w:t xml:space="preserve">documents </w:t>
      </w:r>
      <w:r>
        <w:rPr>
          <w:rFonts w:ascii="Arial" w:eastAsia="Times New Roman" w:hAnsi="Arial" w:cs="Arial"/>
          <w:color w:val="000000"/>
          <w:sz w:val="22"/>
          <w:szCs w:val="22"/>
          <w:lang w:eastAsia="en-GB"/>
        </w:rPr>
        <w:t xml:space="preserve">that employers produce </w:t>
      </w:r>
      <w:r w:rsidR="008340E6">
        <w:rPr>
          <w:rFonts w:ascii="Arial" w:eastAsia="Times New Roman" w:hAnsi="Arial" w:cs="Arial"/>
          <w:color w:val="000000"/>
          <w:sz w:val="22"/>
          <w:szCs w:val="22"/>
          <w:lang w:eastAsia="en-GB"/>
        </w:rPr>
        <w:t xml:space="preserve">based on the </w:t>
      </w:r>
      <w:r>
        <w:rPr>
          <w:rFonts w:ascii="Arial" w:eastAsia="Times New Roman" w:hAnsi="Arial" w:cs="Arial"/>
          <w:color w:val="000000"/>
          <w:sz w:val="22"/>
          <w:szCs w:val="22"/>
          <w:lang w:eastAsia="en-GB"/>
        </w:rPr>
        <w:t xml:space="preserve">GDPR </w:t>
      </w:r>
      <w:r w:rsidR="008340E6">
        <w:rPr>
          <w:rFonts w:ascii="Arial" w:eastAsia="Times New Roman" w:hAnsi="Arial" w:cs="Arial"/>
          <w:color w:val="000000"/>
          <w:sz w:val="22"/>
          <w:szCs w:val="22"/>
          <w:lang w:eastAsia="en-GB"/>
        </w:rPr>
        <w:t xml:space="preserve">template documents </w:t>
      </w:r>
      <w:r w:rsidR="00AB3212">
        <w:rPr>
          <w:rFonts w:ascii="Arial" w:eastAsia="Times New Roman" w:hAnsi="Arial" w:cs="Arial"/>
          <w:color w:val="000000"/>
          <w:sz w:val="22"/>
          <w:szCs w:val="22"/>
          <w:lang w:eastAsia="en-GB"/>
        </w:rPr>
        <w:t>should be checked regularly</w:t>
      </w:r>
      <w:r w:rsidRPr="0036024B">
        <w:rPr>
          <w:rFonts w:ascii="Arial" w:eastAsia="Times New Roman" w:hAnsi="Arial" w:cs="Arial"/>
          <w:color w:val="000000"/>
          <w:sz w:val="22"/>
          <w:szCs w:val="22"/>
          <w:lang w:eastAsia="en-GB"/>
        </w:rPr>
        <w:t xml:space="preserve"> </w:t>
      </w:r>
      <w:r w:rsidR="008340E6" w:rsidRPr="00F441BC">
        <w:rPr>
          <w:rFonts w:ascii="Arial" w:eastAsia="Times New Roman" w:hAnsi="Arial" w:cs="Arial"/>
          <w:color w:val="000000"/>
          <w:sz w:val="22"/>
          <w:szCs w:val="22"/>
          <w:lang w:eastAsia="en-GB"/>
        </w:rPr>
        <w:t xml:space="preserve">to ensure they are still </w:t>
      </w:r>
      <w:proofErr w:type="gramStart"/>
      <w:r w:rsidR="008340E6" w:rsidRPr="00F441BC">
        <w:rPr>
          <w:rFonts w:ascii="Arial" w:eastAsia="Times New Roman" w:hAnsi="Arial" w:cs="Arial"/>
          <w:color w:val="000000"/>
          <w:sz w:val="22"/>
          <w:szCs w:val="22"/>
          <w:lang w:eastAsia="en-GB"/>
        </w:rPr>
        <w:t>up</w:t>
      </w:r>
      <w:r w:rsidR="00723BBF">
        <w:rPr>
          <w:rFonts w:ascii="Arial" w:eastAsia="Times New Roman" w:hAnsi="Arial" w:cs="Arial"/>
          <w:color w:val="000000"/>
          <w:sz w:val="22"/>
          <w:szCs w:val="22"/>
          <w:lang w:eastAsia="en-GB"/>
        </w:rPr>
        <w:t>-</w:t>
      </w:r>
      <w:r w:rsidR="008340E6" w:rsidRPr="00F441BC">
        <w:rPr>
          <w:rFonts w:ascii="Arial" w:eastAsia="Times New Roman" w:hAnsi="Arial" w:cs="Arial"/>
          <w:color w:val="000000"/>
          <w:sz w:val="22"/>
          <w:szCs w:val="22"/>
          <w:lang w:eastAsia="en-GB"/>
        </w:rPr>
        <w:t>to</w:t>
      </w:r>
      <w:r w:rsidR="00723BBF">
        <w:rPr>
          <w:rFonts w:ascii="Arial" w:eastAsia="Times New Roman" w:hAnsi="Arial" w:cs="Arial"/>
          <w:color w:val="000000"/>
          <w:sz w:val="22"/>
          <w:szCs w:val="22"/>
          <w:lang w:eastAsia="en-GB"/>
        </w:rPr>
        <w:t>-</w:t>
      </w:r>
      <w:r w:rsidR="008340E6" w:rsidRPr="00F441BC">
        <w:rPr>
          <w:rFonts w:ascii="Arial" w:eastAsia="Times New Roman" w:hAnsi="Arial" w:cs="Arial"/>
          <w:color w:val="000000"/>
          <w:sz w:val="22"/>
          <w:szCs w:val="22"/>
          <w:lang w:eastAsia="en-GB"/>
        </w:rPr>
        <w:t>date</w:t>
      </w:r>
      <w:r w:rsidR="00AB3212">
        <w:rPr>
          <w:rFonts w:ascii="Arial" w:eastAsia="Times New Roman" w:hAnsi="Arial" w:cs="Arial"/>
          <w:color w:val="000000"/>
          <w:sz w:val="22"/>
          <w:szCs w:val="22"/>
          <w:lang w:eastAsia="en-GB"/>
        </w:rPr>
        <w:t>,</w:t>
      </w:r>
      <w:r w:rsidR="008340E6" w:rsidRPr="00F441BC">
        <w:rPr>
          <w:rFonts w:ascii="Arial" w:eastAsia="Times New Roman" w:hAnsi="Arial" w:cs="Arial"/>
          <w:color w:val="000000"/>
          <w:sz w:val="22"/>
          <w:szCs w:val="22"/>
          <w:lang w:eastAsia="en-GB"/>
        </w:rPr>
        <w:t xml:space="preserve"> and</w:t>
      </w:r>
      <w:proofErr w:type="gramEnd"/>
      <w:r w:rsidR="008340E6" w:rsidRPr="00F441BC">
        <w:rPr>
          <w:rFonts w:ascii="Arial" w:eastAsia="Times New Roman" w:hAnsi="Arial" w:cs="Arial"/>
          <w:color w:val="000000"/>
          <w:sz w:val="22"/>
          <w:szCs w:val="22"/>
          <w:lang w:eastAsia="en-GB"/>
        </w:rPr>
        <w:t xml:space="preserve"> </w:t>
      </w:r>
      <w:r w:rsidR="00AB3212">
        <w:rPr>
          <w:rFonts w:ascii="Arial" w:eastAsia="Times New Roman" w:hAnsi="Arial" w:cs="Arial"/>
          <w:color w:val="000000"/>
          <w:sz w:val="22"/>
          <w:szCs w:val="22"/>
          <w:lang w:eastAsia="en-GB"/>
        </w:rPr>
        <w:t>should</w:t>
      </w:r>
      <w:r>
        <w:rPr>
          <w:rFonts w:ascii="Arial" w:eastAsia="Times New Roman" w:hAnsi="Arial" w:cs="Arial"/>
          <w:color w:val="000000"/>
          <w:sz w:val="22"/>
          <w:szCs w:val="22"/>
          <w:lang w:eastAsia="en-GB"/>
        </w:rPr>
        <w:t xml:space="preserve"> be </w:t>
      </w:r>
      <w:r w:rsidR="008340E6" w:rsidRPr="00F441BC">
        <w:rPr>
          <w:rFonts w:ascii="Arial" w:eastAsia="Times New Roman" w:hAnsi="Arial" w:cs="Arial"/>
          <w:color w:val="000000"/>
          <w:sz w:val="22"/>
          <w:szCs w:val="22"/>
          <w:lang w:eastAsia="en-GB"/>
        </w:rPr>
        <w:t>amended if necessary.</w:t>
      </w:r>
      <w:r w:rsidR="008340E6">
        <w:rPr>
          <w:rFonts w:ascii="Arial" w:eastAsia="Times New Roman" w:hAnsi="Arial" w:cs="Arial"/>
          <w:color w:val="000000"/>
          <w:sz w:val="22"/>
          <w:szCs w:val="22"/>
          <w:lang w:eastAsia="en-GB"/>
        </w:rPr>
        <w:t xml:space="preserve"> </w:t>
      </w:r>
    </w:p>
    <w:p w14:paraId="0CAE8E40" w14:textId="77777777" w:rsidR="00C62161" w:rsidRDefault="00C62161" w:rsidP="00C62161">
      <w:pPr>
        <w:ind w:left="720"/>
        <w:jc w:val="both"/>
        <w:rPr>
          <w:rFonts w:ascii="Arial" w:eastAsia="Times New Roman" w:hAnsi="Arial" w:cs="Arial"/>
          <w:color w:val="000000"/>
          <w:sz w:val="22"/>
          <w:szCs w:val="22"/>
          <w:lang w:eastAsia="en-GB"/>
        </w:rPr>
      </w:pPr>
    </w:p>
    <w:p w14:paraId="07FE3D09" w14:textId="413829F9" w:rsidR="00103B6F" w:rsidRDefault="00E31E26" w:rsidP="00EF5061">
      <w:pPr>
        <w:numPr>
          <w:ilvl w:val="0"/>
          <w:numId w:val="12"/>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It is also important to bear in mind that</w:t>
      </w:r>
      <w:r w:rsidR="00C62FC1">
        <w:rPr>
          <w:rFonts w:ascii="Arial" w:eastAsia="Times New Roman" w:hAnsi="Arial" w:cs="Arial"/>
          <w:color w:val="000000"/>
          <w:sz w:val="22"/>
          <w:szCs w:val="22"/>
          <w:lang w:eastAsia="en-GB"/>
        </w:rPr>
        <w:t>, once customised and ready for implementation,</w:t>
      </w:r>
      <w:r>
        <w:rPr>
          <w:rFonts w:ascii="Arial" w:eastAsia="Times New Roman" w:hAnsi="Arial" w:cs="Arial"/>
          <w:color w:val="000000"/>
          <w:sz w:val="22"/>
          <w:szCs w:val="22"/>
          <w:lang w:eastAsia="en-GB"/>
        </w:rPr>
        <w:t xml:space="preserve"> the</w:t>
      </w:r>
      <w:r w:rsidR="00C62161">
        <w:rPr>
          <w:rFonts w:ascii="Arial" w:eastAsia="Times New Roman" w:hAnsi="Arial" w:cs="Arial"/>
          <w:color w:val="000000"/>
          <w:sz w:val="22"/>
          <w:szCs w:val="22"/>
          <w:lang w:eastAsia="en-GB"/>
        </w:rPr>
        <w:t xml:space="preserve"> docume</w:t>
      </w:r>
      <w:r w:rsidR="002A0F98">
        <w:rPr>
          <w:rFonts w:ascii="Arial" w:eastAsia="Times New Roman" w:hAnsi="Arial" w:cs="Arial"/>
          <w:color w:val="000000"/>
          <w:sz w:val="22"/>
          <w:szCs w:val="22"/>
          <w:lang w:eastAsia="en-GB"/>
        </w:rPr>
        <w:t xml:space="preserve">nts should not be presented to </w:t>
      </w:r>
      <w:r w:rsidR="000F20E1">
        <w:rPr>
          <w:rFonts w:ascii="Arial" w:eastAsia="Times New Roman" w:hAnsi="Arial" w:cs="Arial"/>
          <w:color w:val="000000"/>
          <w:sz w:val="22"/>
          <w:szCs w:val="22"/>
          <w:lang w:eastAsia="en-GB"/>
        </w:rPr>
        <w:t xml:space="preserve">your </w:t>
      </w:r>
      <w:r w:rsidR="002A0F98">
        <w:rPr>
          <w:rFonts w:ascii="Arial" w:eastAsia="Times New Roman" w:hAnsi="Arial" w:cs="Arial"/>
          <w:color w:val="000000"/>
          <w:sz w:val="22"/>
          <w:szCs w:val="22"/>
          <w:lang w:eastAsia="en-GB"/>
        </w:rPr>
        <w:t>E</w:t>
      </w:r>
      <w:r w:rsidR="00C62161">
        <w:rPr>
          <w:rFonts w:ascii="Arial" w:eastAsia="Times New Roman" w:hAnsi="Arial" w:cs="Arial"/>
          <w:color w:val="000000"/>
          <w:sz w:val="22"/>
          <w:szCs w:val="22"/>
          <w:lang w:eastAsia="en-GB"/>
        </w:rPr>
        <w:t>mployees in isolation, but should be accompanied by appropriate training</w:t>
      </w:r>
      <w:r w:rsidR="00B960B8">
        <w:rPr>
          <w:rFonts w:ascii="Arial" w:eastAsia="Times New Roman" w:hAnsi="Arial" w:cs="Arial"/>
          <w:color w:val="000000"/>
          <w:sz w:val="22"/>
          <w:szCs w:val="22"/>
          <w:lang w:eastAsia="en-GB"/>
        </w:rPr>
        <w:t xml:space="preserve">, as highlighted in the ICO’s Accountability Framework (available online: </w:t>
      </w:r>
      <w:hyperlink r:id="rId9" w:history="1">
        <w:r w:rsidR="005C30C3" w:rsidRPr="003C1614">
          <w:rPr>
            <w:rStyle w:val="Hyperlink"/>
            <w:rFonts w:ascii="Arial" w:eastAsia="Times New Roman" w:hAnsi="Arial" w:cs="Arial"/>
            <w:sz w:val="22"/>
            <w:szCs w:val="22"/>
            <w:lang w:eastAsia="en-GB"/>
          </w:rPr>
          <w:t>https://ico.org.uk/for-organisations/uk-gdpr-guidance-and-resources/accountability-and-governance/accountability-framework/training-and-awareness/</w:t>
        </w:r>
      </w:hyperlink>
      <w:r w:rsidR="00B960B8">
        <w:rPr>
          <w:rFonts w:ascii="Arial" w:eastAsia="Times New Roman" w:hAnsi="Arial" w:cs="Arial"/>
          <w:color w:val="000000"/>
          <w:sz w:val="22"/>
          <w:szCs w:val="22"/>
          <w:lang w:eastAsia="en-GB"/>
        </w:rPr>
        <w:t>)</w:t>
      </w:r>
      <w:r w:rsidR="00C62161">
        <w:rPr>
          <w:rFonts w:ascii="Arial" w:eastAsia="Times New Roman" w:hAnsi="Arial" w:cs="Arial"/>
          <w:color w:val="000000"/>
          <w:sz w:val="22"/>
          <w:szCs w:val="22"/>
          <w:lang w:eastAsia="en-GB"/>
        </w:rPr>
        <w:t xml:space="preserve">. While in-depth training on the technicalities of the GDPR’s requirements will only be necessary for individuals who will have particular responsibility for personal data and data protection, </w:t>
      </w:r>
      <w:r w:rsidR="00C62161" w:rsidRPr="00C62161">
        <w:rPr>
          <w:rFonts w:ascii="Arial" w:eastAsia="Times New Roman" w:hAnsi="Arial" w:cs="Arial"/>
          <w:i/>
          <w:color w:val="000000"/>
          <w:sz w:val="22"/>
          <w:szCs w:val="22"/>
          <w:lang w:eastAsia="en-GB"/>
        </w:rPr>
        <w:t>all</w:t>
      </w:r>
      <w:r w:rsidR="002A0F98">
        <w:rPr>
          <w:rFonts w:ascii="Arial" w:eastAsia="Times New Roman" w:hAnsi="Arial" w:cs="Arial"/>
          <w:color w:val="000000"/>
          <w:sz w:val="22"/>
          <w:szCs w:val="22"/>
          <w:lang w:eastAsia="en-GB"/>
        </w:rPr>
        <w:t xml:space="preserve"> E</w:t>
      </w:r>
      <w:r w:rsidR="00C62161">
        <w:rPr>
          <w:rFonts w:ascii="Arial" w:eastAsia="Times New Roman" w:hAnsi="Arial" w:cs="Arial"/>
          <w:color w:val="000000"/>
          <w:sz w:val="22"/>
          <w:szCs w:val="22"/>
          <w:lang w:eastAsia="en-GB"/>
        </w:rPr>
        <w:t xml:space="preserve">mployees should be given at least a basic level of training on key data protection concepts and the importance of data </w:t>
      </w:r>
      <w:proofErr w:type="gramStart"/>
      <w:r w:rsidR="00C62161">
        <w:rPr>
          <w:rFonts w:ascii="Arial" w:eastAsia="Times New Roman" w:hAnsi="Arial" w:cs="Arial"/>
          <w:color w:val="000000"/>
          <w:sz w:val="22"/>
          <w:szCs w:val="22"/>
          <w:lang w:eastAsia="en-GB"/>
        </w:rPr>
        <w:t>security</w:t>
      </w:r>
      <w:proofErr w:type="gramEnd"/>
      <w:r w:rsidR="00B960B8">
        <w:rPr>
          <w:rFonts w:ascii="Arial" w:eastAsia="Times New Roman" w:hAnsi="Arial" w:cs="Arial"/>
          <w:color w:val="000000"/>
          <w:sz w:val="22"/>
          <w:szCs w:val="22"/>
          <w:lang w:eastAsia="en-GB"/>
        </w:rPr>
        <w:t xml:space="preserve"> and such training should be refreshed on a periodic basis</w:t>
      </w:r>
      <w:r w:rsidR="00C62161">
        <w:rPr>
          <w:rFonts w:ascii="Arial" w:eastAsia="Times New Roman" w:hAnsi="Arial" w:cs="Arial"/>
          <w:color w:val="000000"/>
          <w:sz w:val="22"/>
          <w:szCs w:val="22"/>
          <w:lang w:eastAsia="en-GB"/>
        </w:rPr>
        <w:t>.</w:t>
      </w:r>
      <w:r w:rsidR="008D4F98">
        <w:rPr>
          <w:rFonts w:ascii="Arial" w:eastAsia="Times New Roman" w:hAnsi="Arial" w:cs="Arial"/>
          <w:color w:val="000000"/>
          <w:sz w:val="22"/>
          <w:szCs w:val="22"/>
          <w:lang w:eastAsia="en-GB"/>
        </w:rPr>
        <w:t xml:space="preserve"> (</w:t>
      </w:r>
      <w:r w:rsidR="00EF5061" w:rsidRPr="00EF5061">
        <w:rPr>
          <w:rFonts w:ascii="Arial" w:eastAsia="Times New Roman" w:hAnsi="Arial" w:cs="Arial"/>
          <w:color w:val="000000"/>
          <w:sz w:val="22"/>
          <w:szCs w:val="22"/>
          <w:lang w:eastAsia="en-GB"/>
        </w:rPr>
        <w:t>Make UK can help you train your staff on data protection matters. If you would like to find out more about how we can help</w:t>
      </w:r>
      <w:r w:rsidR="00EF5061">
        <w:rPr>
          <w:rFonts w:ascii="Arial" w:eastAsia="Times New Roman" w:hAnsi="Arial" w:cs="Arial"/>
          <w:color w:val="000000"/>
          <w:sz w:val="22"/>
          <w:szCs w:val="22"/>
          <w:lang w:eastAsia="en-GB"/>
        </w:rPr>
        <w:t>,</w:t>
      </w:r>
      <w:r w:rsidR="00EF5061" w:rsidRPr="00EF5061">
        <w:rPr>
          <w:rFonts w:ascii="Arial" w:eastAsia="Times New Roman" w:hAnsi="Arial" w:cs="Arial"/>
          <w:color w:val="000000"/>
          <w:sz w:val="22"/>
          <w:szCs w:val="22"/>
          <w:lang w:eastAsia="en-GB"/>
        </w:rPr>
        <w:t xml:space="preserve"> or </w:t>
      </w:r>
      <w:r w:rsidR="0049345C">
        <w:rPr>
          <w:rFonts w:ascii="Arial" w:eastAsia="Times New Roman" w:hAnsi="Arial" w:cs="Arial"/>
          <w:color w:val="000000"/>
          <w:sz w:val="22"/>
          <w:szCs w:val="22"/>
          <w:lang w:eastAsia="en-GB"/>
        </w:rPr>
        <w:t xml:space="preserve">you </w:t>
      </w:r>
      <w:r w:rsidR="00EF5061" w:rsidRPr="00EF5061">
        <w:rPr>
          <w:rFonts w:ascii="Arial" w:eastAsia="Times New Roman" w:hAnsi="Arial" w:cs="Arial"/>
          <w:color w:val="000000"/>
          <w:sz w:val="22"/>
          <w:szCs w:val="22"/>
          <w:lang w:eastAsia="en-GB"/>
        </w:rPr>
        <w:t>are interested in purchasing an e-learning module to train your staff, please contact us</w:t>
      </w:r>
      <w:r w:rsidR="00B94524">
        <w:rPr>
          <w:rFonts w:ascii="Arial" w:eastAsia="Times New Roman" w:hAnsi="Arial" w:cs="Arial"/>
          <w:color w:val="000000"/>
          <w:sz w:val="22"/>
          <w:szCs w:val="22"/>
          <w:lang w:eastAsia="en-GB"/>
        </w:rPr>
        <w:t xml:space="preserve"> by email to </w:t>
      </w:r>
      <w:hyperlink r:id="rId10" w:history="1">
        <w:r w:rsidR="0064772B" w:rsidRPr="00851079">
          <w:rPr>
            <w:rStyle w:val="Hyperlink"/>
            <w:rFonts w:ascii="Arial" w:eastAsia="Times New Roman" w:hAnsi="Arial" w:cs="Arial"/>
            <w:sz w:val="22"/>
            <w:szCs w:val="22"/>
            <w:lang w:eastAsia="en-GB"/>
          </w:rPr>
          <w:t>enquiries@makeuk.org</w:t>
        </w:r>
      </w:hyperlink>
      <w:r w:rsidR="00681E06">
        <w:rPr>
          <w:rFonts w:ascii="Arial" w:hAnsi="Arial" w:cs="Arial"/>
          <w:sz w:val="22"/>
          <w:szCs w:val="22"/>
        </w:rPr>
        <w:t>)</w:t>
      </w:r>
      <w:r w:rsidR="008D4F98" w:rsidRPr="0005348B">
        <w:rPr>
          <w:rFonts w:ascii="Arial" w:eastAsia="Times New Roman" w:hAnsi="Arial" w:cs="Arial"/>
          <w:color w:val="000000"/>
          <w:sz w:val="22"/>
          <w:szCs w:val="22"/>
          <w:lang w:eastAsia="en-GB"/>
        </w:rPr>
        <w:t>.</w:t>
      </w:r>
      <w:r w:rsidR="008D4F98">
        <w:rPr>
          <w:rFonts w:ascii="Arial" w:eastAsia="Times New Roman" w:hAnsi="Arial" w:cs="Arial"/>
          <w:color w:val="000000"/>
          <w:sz w:val="22"/>
          <w:szCs w:val="22"/>
          <w:lang w:eastAsia="en-GB"/>
        </w:rPr>
        <w:t xml:space="preserve"> </w:t>
      </w:r>
    </w:p>
    <w:p w14:paraId="7FBCAE31" w14:textId="77777777" w:rsidR="000F20E1" w:rsidRDefault="000F20E1" w:rsidP="000F20E1">
      <w:pPr>
        <w:pStyle w:val="ListParagraph"/>
        <w:rPr>
          <w:rFonts w:ascii="Arial" w:eastAsia="Times New Roman" w:hAnsi="Arial" w:cs="Arial"/>
          <w:color w:val="000000"/>
          <w:sz w:val="22"/>
          <w:szCs w:val="22"/>
          <w:lang w:eastAsia="en-GB"/>
        </w:rPr>
      </w:pPr>
    </w:p>
    <w:p w14:paraId="5AC2D6F0" w14:textId="1E3E3245" w:rsidR="000F20E1" w:rsidRPr="000F20E1" w:rsidRDefault="000F20E1" w:rsidP="000F20E1">
      <w:pPr>
        <w:jc w:val="both"/>
        <w:rPr>
          <w:rFonts w:ascii="Arial" w:eastAsia="Times New Roman" w:hAnsi="Arial" w:cs="Arial"/>
          <w:color w:val="000000"/>
          <w:sz w:val="22"/>
          <w:szCs w:val="22"/>
          <w:lang w:eastAsia="en-GB"/>
        </w:rPr>
      </w:pPr>
      <w:r>
        <w:rPr>
          <w:rFonts w:ascii="Arial" w:eastAsia="Times New Roman" w:hAnsi="Arial" w:cs="Arial"/>
          <w:b/>
          <w:bCs/>
          <w:color w:val="000000"/>
          <w:sz w:val="22"/>
          <w:szCs w:val="22"/>
          <w:lang w:eastAsia="en-GB"/>
        </w:rPr>
        <w:t xml:space="preserve">Note about the law on international transfers of personal </w:t>
      </w:r>
      <w:proofErr w:type="gramStart"/>
      <w:r>
        <w:rPr>
          <w:rFonts w:ascii="Arial" w:eastAsia="Times New Roman" w:hAnsi="Arial" w:cs="Arial"/>
          <w:b/>
          <w:bCs/>
          <w:color w:val="000000"/>
          <w:sz w:val="22"/>
          <w:szCs w:val="22"/>
          <w:lang w:eastAsia="en-GB"/>
        </w:rPr>
        <w:t>data</w:t>
      </w:r>
      <w:proofErr w:type="gramEnd"/>
    </w:p>
    <w:p w14:paraId="56E84F81" w14:textId="77777777" w:rsidR="0064772B" w:rsidRDefault="0064772B" w:rsidP="0064772B">
      <w:pPr>
        <w:pStyle w:val="ListParagraph"/>
        <w:rPr>
          <w:rFonts w:ascii="Arial" w:eastAsia="Times New Roman" w:hAnsi="Arial" w:cs="Arial"/>
          <w:color w:val="000000"/>
          <w:sz w:val="22"/>
          <w:szCs w:val="22"/>
          <w:lang w:eastAsia="en-GB"/>
        </w:rPr>
      </w:pPr>
    </w:p>
    <w:p w14:paraId="6946FF1D" w14:textId="2EA8A5E2" w:rsidR="0064772B" w:rsidRDefault="0064772B" w:rsidP="0064772B">
      <w:pPr>
        <w:pStyle w:val="ListParagraph"/>
        <w:numPr>
          <w:ilvl w:val="0"/>
          <w:numId w:val="12"/>
        </w:numPr>
        <w:jc w:val="both"/>
        <w:rPr>
          <w:rFonts w:ascii="Arial" w:eastAsia="Times New Roman" w:hAnsi="Arial" w:cs="Arial"/>
          <w:color w:val="000000"/>
          <w:sz w:val="22"/>
          <w:szCs w:val="22"/>
          <w:lang w:eastAsia="en-GB"/>
        </w:rPr>
      </w:pPr>
      <w:r w:rsidRPr="00795679">
        <w:rPr>
          <w:rFonts w:ascii="Arial" w:eastAsia="Times New Roman" w:hAnsi="Arial" w:cs="Arial"/>
          <w:color w:val="000000"/>
          <w:sz w:val="22"/>
          <w:szCs w:val="22"/>
          <w:lang w:eastAsia="en-GB"/>
        </w:rPr>
        <w:t>Since the</w:t>
      </w:r>
      <w:r>
        <w:rPr>
          <w:rFonts w:ascii="Arial" w:eastAsia="Times New Roman" w:hAnsi="Arial" w:cs="Arial"/>
          <w:color w:val="000000"/>
          <w:sz w:val="22"/>
          <w:szCs w:val="22"/>
          <w:lang w:eastAsia="en-GB"/>
        </w:rPr>
        <w:t xml:space="preserve"> template documents</w:t>
      </w:r>
      <w:r w:rsidRPr="00795679">
        <w:rPr>
          <w:rFonts w:ascii="Arial" w:eastAsia="Times New Roman" w:hAnsi="Arial" w:cs="Arial"/>
          <w:color w:val="000000"/>
          <w:sz w:val="22"/>
          <w:szCs w:val="22"/>
          <w:lang w:eastAsia="en-GB"/>
        </w:rPr>
        <w:t xml:space="preserve"> are written from the perspective of a UK-based company, where relevant, they </w:t>
      </w:r>
      <w:r>
        <w:rPr>
          <w:rFonts w:ascii="Arial" w:eastAsia="Times New Roman" w:hAnsi="Arial" w:cs="Arial"/>
          <w:color w:val="000000"/>
          <w:sz w:val="22"/>
          <w:szCs w:val="22"/>
          <w:lang w:eastAsia="en-GB"/>
        </w:rPr>
        <w:t xml:space="preserve">generally </w:t>
      </w:r>
      <w:r w:rsidRPr="00795679">
        <w:rPr>
          <w:rFonts w:ascii="Arial" w:eastAsia="Times New Roman" w:hAnsi="Arial" w:cs="Arial"/>
          <w:color w:val="000000"/>
          <w:sz w:val="22"/>
          <w:szCs w:val="22"/>
          <w:lang w:eastAsia="en-GB"/>
        </w:rPr>
        <w:t>provide</w:t>
      </w:r>
      <w:r w:rsidRPr="00F3263E">
        <w:rPr>
          <w:rFonts w:ascii="Arial" w:eastAsia="Times New Roman" w:hAnsi="Arial" w:cs="Arial"/>
          <w:color w:val="000000"/>
          <w:sz w:val="22"/>
          <w:szCs w:val="22"/>
          <w:lang w:eastAsia="en-GB"/>
        </w:rPr>
        <w:t xml:space="preserve"> information about transfers of Employee personal data out of, rather than into, the UK</w:t>
      </w:r>
      <w:r>
        <w:rPr>
          <w:rFonts w:ascii="Arial" w:eastAsia="Times New Roman" w:hAnsi="Arial" w:cs="Arial"/>
          <w:color w:val="000000"/>
          <w:sz w:val="22"/>
          <w:szCs w:val="22"/>
          <w:lang w:eastAsia="en-GB"/>
        </w:rPr>
        <w:t xml:space="preserve"> (although the Data Protection Policy does refer to the possibility</w:t>
      </w:r>
      <w:r w:rsidR="00AD53C8">
        <w:rPr>
          <w:rFonts w:ascii="Arial" w:eastAsia="Times New Roman" w:hAnsi="Arial" w:cs="Arial"/>
          <w:color w:val="000000"/>
          <w:sz w:val="22"/>
          <w:szCs w:val="22"/>
          <w:lang w:eastAsia="en-GB"/>
        </w:rPr>
        <w:t xml:space="preserve"> of the company receiving </w:t>
      </w:r>
      <w:r w:rsidR="00A735CE">
        <w:rPr>
          <w:rFonts w:ascii="Arial" w:eastAsia="Times New Roman" w:hAnsi="Arial" w:cs="Arial"/>
          <w:color w:val="000000"/>
          <w:sz w:val="22"/>
          <w:szCs w:val="22"/>
          <w:lang w:eastAsia="en-GB"/>
        </w:rPr>
        <w:t>personal</w:t>
      </w:r>
      <w:r>
        <w:rPr>
          <w:rFonts w:ascii="Arial" w:eastAsia="Times New Roman" w:hAnsi="Arial" w:cs="Arial"/>
          <w:color w:val="000000"/>
          <w:sz w:val="22"/>
          <w:szCs w:val="22"/>
          <w:lang w:eastAsia="en-GB"/>
        </w:rPr>
        <w:t xml:space="preserve"> </w:t>
      </w:r>
      <w:r w:rsidR="00AD53C8">
        <w:rPr>
          <w:rFonts w:ascii="Arial" w:eastAsia="Times New Roman" w:hAnsi="Arial" w:cs="Arial"/>
          <w:color w:val="000000"/>
          <w:sz w:val="22"/>
          <w:szCs w:val="22"/>
          <w:lang w:eastAsia="en-GB"/>
        </w:rPr>
        <w:t>data from other countr</w:t>
      </w:r>
      <w:r w:rsidR="007A760E">
        <w:rPr>
          <w:rFonts w:ascii="Arial" w:eastAsia="Times New Roman" w:hAnsi="Arial" w:cs="Arial"/>
          <w:color w:val="000000"/>
          <w:sz w:val="22"/>
          <w:szCs w:val="22"/>
          <w:lang w:eastAsia="en-GB"/>
        </w:rPr>
        <w:t>ies</w:t>
      </w:r>
      <w:r w:rsidR="00AD53C8">
        <w:rPr>
          <w:rFonts w:ascii="Arial" w:eastAsia="Times New Roman" w:hAnsi="Arial" w:cs="Arial"/>
          <w:color w:val="000000"/>
          <w:sz w:val="22"/>
          <w:szCs w:val="22"/>
          <w:lang w:eastAsia="en-GB"/>
        </w:rPr>
        <w:t>).</w:t>
      </w:r>
    </w:p>
    <w:p w14:paraId="46721E2E" w14:textId="77777777" w:rsidR="0005348B" w:rsidRPr="007E512A" w:rsidRDefault="0005348B" w:rsidP="007E512A">
      <w:pPr>
        <w:rPr>
          <w:rFonts w:ascii="Arial" w:eastAsia="Times New Roman" w:hAnsi="Arial" w:cs="Arial"/>
          <w:color w:val="000000"/>
          <w:sz w:val="22"/>
          <w:szCs w:val="22"/>
          <w:lang w:eastAsia="en-GB"/>
        </w:rPr>
      </w:pPr>
    </w:p>
    <w:p w14:paraId="46F3ED19" w14:textId="3C7A89E3" w:rsidR="00795679" w:rsidRPr="00AD53C8" w:rsidRDefault="00CF1157" w:rsidP="00AD53C8">
      <w:pPr>
        <w:pStyle w:val="ListParagraph"/>
        <w:numPr>
          <w:ilvl w:val="0"/>
          <w:numId w:val="12"/>
        </w:numPr>
        <w:jc w:val="both"/>
        <w:rPr>
          <w:rFonts w:ascii="Arial" w:eastAsia="Times New Roman" w:hAnsi="Arial" w:cs="Arial"/>
          <w:color w:val="000000"/>
          <w:sz w:val="22"/>
          <w:szCs w:val="22"/>
          <w:lang w:eastAsia="en-GB"/>
        </w:rPr>
      </w:pPr>
      <w:r w:rsidRPr="00AD53C8">
        <w:rPr>
          <w:rFonts w:ascii="Arial" w:eastAsia="Times New Roman" w:hAnsi="Arial" w:cs="Arial"/>
          <w:color w:val="000000"/>
          <w:sz w:val="22"/>
          <w:szCs w:val="22"/>
          <w:lang w:eastAsia="en-GB"/>
        </w:rPr>
        <w:t>T</w:t>
      </w:r>
      <w:r w:rsidR="00E417F8" w:rsidRPr="00AD53C8">
        <w:rPr>
          <w:rFonts w:ascii="Arial" w:eastAsia="Times New Roman" w:hAnsi="Arial" w:cs="Arial"/>
          <w:color w:val="000000"/>
          <w:sz w:val="22"/>
          <w:szCs w:val="22"/>
          <w:lang w:eastAsia="en-GB"/>
        </w:rPr>
        <w:t>he template documentation reflects the</w:t>
      </w:r>
      <w:r w:rsidR="006A58AD" w:rsidRPr="00AD53C8">
        <w:rPr>
          <w:rFonts w:ascii="Arial" w:eastAsia="Times New Roman" w:hAnsi="Arial" w:cs="Arial"/>
          <w:color w:val="000000"/>
          <w:sz w:val="22"/>
          <w:szCs w:val="22"/>
          <w:lang w:eastAsia="en-GB"/>
        </w:rPr>
        <w:t xml:space="preserve"> </w:t>
      </w:r>
      <w:r w:rsidR="008F7910" w:rsidRPr="00AD53C8">
        <w:rPr>
          <w:rFonts w:ascii="Arial" w:eastAsia="Times New Roman" w:hAnsi="Arial" w:cs="Arial"/>
          <w:color w:val="000000"/>
          <w:sz w:val="22"/>
          <w:szCs w:val="22"/>
          <w:lang w:eastAsia="en-GB"/>
        </w:rPr>
        <w:t xml:space="preserve">fact that the UK has left the EU and </w:t>
      </w:r>
      <w:r w:rsidR="00825963" w:rsidRPr="00AD53C8">
        <w:rPr>
          <w:rFonts w:ascii="Arial" w:eastAsia="Times New Roman" w:hAnsi="Arial" w:cs="Arial"/>
          <w:color w:val="000000"/>
          <w:sz w:val="22"/>
          <w:szCs w:val="22"/>
          <w:lang w:eastAsia="en-GB"/>
        </w:rPr>
        <w:t xml:space="preserve">that </w:t>
      </w:r>
      <w:r w:rsidR="008F7910" w:rsidRPr="00AD53C8">
        <w:rPr>
          <w:rFonts w:ascii="Arial" w:eastAsia="Times New Roman" w:hAnsi="Arial" w:cs="Arial"/>
          <w:color w:val="000000"/>
          <w:sz w:val="22"/>
          <w:szCs w:val="22"/>
          <w:lang w:eastAsia="en-GB"/>
        </w:rPr>
        <w:t xml:space="preserve">the transition period came to an end </w:t>
      </w:r>
      <w:r w:rsidR="00F75E69" w:rsidRPr="00AD53C8">
        <w:rPr>
          <w:rFonts w:ascii="Arial" w:eastAsia="Times New Roman" w:hAnsi="Arial" w:cs="Arial"/>
          <w:color w:val="000000"/>
          <w:sz w:val="22"/>
          <w:szCs w:val="22"/>
          <w:lang w:eastAsia="en-GB"/>
        </w:rPr>
        <w:t xml:space="preserve">on 31 December </w:t>
      </w:r>
      <w:r w:rsidR="008F7910" w:rsidRPr="00AD53C8">
        <w:rPr>
          <w:rFonts w:ascii="Arial" w:eastAsia="Times New Roman" w:hAnsi="Arial" w:cs="Arial"/>
          <w:color w:val="000000"/>
          <w:sz w:val="22"/>
          <w:szCs w:val="22"/>
          <w:lang w:eastAsia="en-GB"/>
        </w:rPr>
        <w:t xml:space="preserve">2020. </w:t>
      </w:r>
      <w:proofErr w:type="gramStart"/>
      <w:r w:rsidR="008F7910" w:rsidRPr="00AD53C8">
        <w:rPr>
          <w:rFonts w:ascii="Arial" w:eastAsia="Times New Roman" w:hAnsi="Arial" w:cs="Arial"/>
          <w:color w:val="000000"/>
          <w:sz w:val="22"/>
          <w:szCs w:val="22"/>
          <w:lang w:eastAsia="en-GB"/>
        </w:rPr>
        <w:t>With regard to</w:t>
      </w:r>
      <w:proofErr w:type="gramEnd"/>
      <w:r w:rsidR="008F7910" w:rsidRPr="00AD53C8">
        <w:rPr>
          <w:rFonts w:ascii="Arial" w:eastAsia="Times New Roman" w:hAnsi="Arial" w:cs="Arial"/>
          <w:color w:val="000000"/>
          <w:sz w:val="22"/>
          <w:szCs w:val="22"/>
          <w:lang w:eastAsia="en-GB"/>
        </w:rPr>
        <w:t xml:space="preserve"> transfers of personal data from the UK to the EEA, the UK Government</w:t>
      </w:r>
      <w:r w:rsidR="0061524F" w:rsidRPr="00AD53C8">
        <w:rPr>
          <w:rFonts w:ascii="Arial" w:eastAsia="Times New Roman" w:hAnsi="Arial" w:cs="Arial"/>
          <w:color w:val="000000"/>
          <w:sz w:val="22"/>
          <w:szCs w:val="22"/>
          <w:lang w:eastAsia="en-GB"/>
        </w:rPr>
        <w:t xml:space="preserve"> has recognised </w:t>
      </w:r>
      <w:r w:rsidR="008F7910" w:rsidRPr="00AD53C8">
        <w:rPr>
          <w:rFonts w:ascii="Arial" w:eastAsia="Times New Roman" w:hAnsi="Arial" w:cs="Arial"/>
          <w:color w:val="000000"/>
          <w:sz w:val="22"/>
          <w:szCs w:val="22"/>
          <w:lang w:eastAsia="en-GB"/>
        </w:rPr>
        <w:t xml:space="preserve">the adequacy of data protection provisions in EEA countries </w:t>
      </w:r>
      <w:r w:rsidR="0061524F" w:rsidRPr="00AD53C8">
        <w:rPr>
          <w:rFonts w:ascii="Arial" w:eastAsia="Times New Roman" w:hAnsi="Arial" w:cs="Arial"/>
          <w:color w:val="000000"/>
          <w:sz w:val="22"/>
          <w:szCs w:val="22"/>
          <w:lang w:eastAsia="en-GB"/>
        </w:rPr>
        <w:t>and, with regard to transfers of personal data from the EEA to the UK, on 28 June 2021, the EU Commission formally adopted an adequacy decision in respect of the UK</w:t>
      </w:r>
      <w:r w:rsidR="008F7910" w:rsidRPr="00AD53C8">
        <w:rPr>
          <w:rFonts w:ascii="Arial" w:eastAsia="Times New Roman" w:hAnsi="Arial" w:cs="Arial"/>
          <w:color w:val="000000"/>
          <w:sz w:val="22"/>
          <w:szCs w:val="22"/>
          <w:lang w:eastAsia="en-GB"/>
        </w:rPr>
        <w:t>.</w:t>
      </w:r>
      <w:r w:rsidR="0061524F" w:rsidRPr="00AD53C8">
        <w:rPr>
          <w:rFonts w:ascii="Arial" w:eastAsia="Times New Roman" w:hAnsi="Arial" w:cs="Arial"/>
          <w:color w:val="000000"/>
          <w:sz w:val="22"/>
          <w:szCs w:val="22"/>
          <w:lang w:eastAsia="en-GB"/>
        </w:rPr>
        <w:t xml:space="preserve"> The adequacy decision is valid for an initial period of four years, after which it can be renewed if the EU Commission is satisfied that the UK continues to provide an adequate level of protection for personal data.</w:t>
      </w:r>
      <w:r w:rsidR="008F7910" w:rsidRPr="00AD53C8">
        <w:rPr>
          <w:rFonts w:ascii="Arial" w:eastAsia="Times New Roman" w:hAnsi="Arial" w:cs="Arial"/>
          <w:color w:val="000000"/>
          <w:sz w:val="22"/>
          <w:szCs w:val="22"/>
          <w:lang w:eastAsia="en-GB"/>
        </w:rPr>
        <w:t xml:space="preserve"> Accordingly, these template documents assume that personal data can flow freely between the UK and the EEA. </w:t>
      </w:r>
    </w:p>
    <w:p w14:paraId="55878B7A" w14:textId="77777777" w:rsidR="00B960B8" w:rsidRPr="007E512A" w:rsidRDefault="00B960B8" w:rsidP="007E512A">
      <w:pPr>
        <w:jc w:val="both"/>
        <w:rPr>
          <w:rFonts w:ascii="Arial" w:eastAsia="Times New Roman" w:hAnsi="Arial" w:cs="Arial"/>
          <w:color w:val="000000"/>
          <w:sz w:val="22"/>
          <w:szCs w:val="22"/>
          <w:lang w:eastAsia="en-GB"/>
        </w:rPr>
      </w:pPr>
    </w:p>
    <w:p w14:paraId="08447D3D" w14:textId="03DEC6B5" w:rsidR="00705E46" w:rsidRPr="00705E46" w:rsidRDefault="00B960B8" w:rsidP="00C807DB">
      <w:pPr>
        <w:pStyle w:val="ListParagraph"/>
        <w:numPr>
          <w:ilvl w:val="0"/>
          <w:numId w:val="12"/>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 xml:space="preserve">What about transfers of personal data between the UK and </w:t>
      </w:r>
      <w:r w:rsidR="00367A47">
        <w:rPr>
          <w:rFonts w:ascii="Arial" w:eastAsia="Times New Roman" w:hAnsi="Arial" w:cs="Arial"/>
          <w:color w:val="000000"/>
          <w:sz w:val="22"/>
          <w:szCs w:val="22"/>
          <w:lang w:eastAsia="en-GB"/>
        </w:rPr>
        <w:t xml:space="preserve">other </w:t>
      </w:r>
      <w:r>
        <w:rPr>
          <w:rFonts w:ascii="Arial" w:eastAsia="Times New Roman" w:hAnsi="Arial" w:cs="Arial"/>
          <w:color w:val="000000"/>
          <w:sz w:val="22"/>
          <w:szCs w:val="22"/>
          <w:lang w:eastAsia="en-GB"/>
        </w:rPr>
        <w:t>countries outside the EEA? For transfers from the UK, the position</w:t>
      </w:r>
      <w:r w:rsidR="00367A47">
        <w:rPr>
          <w:rFonts w:ascii="Arial" w:eastAsia="Times New Roman" w:hAnsi="Arial" w:cs="Arial"/>
          <w:color w:val="000000"/>
          <w:sz w:val="22"/>
          <w:szCs w:val="22"/>
          <w:lang w:eastAsia="en-GB"/>
        </w:rPr>
        <w:t xml:space="preserve"> under the UK GDPR</w:t>
      </w:r>
      <w:r>
        <w:rPr>
          <w:rFonts w:ascii="Arial" w:eastAsia="Times New Roman" w:hAnsi="Arial" w:cs="Arial"/>
          <w:color w:val="000000"/>
          <w:sz w:val="22"/>
          <w:szCs w:val="22"/>
          <w:lang w:eastAsia="en-GB"/>
        </w:rPr>
        <w:t xml:space="preserve"> is the same as it was </w:t>
      </w:r>
      <w:r w:rsidR="00367A47">
        <w:rPr>
          <w:rFonts w:ascii="Arial" w:eastAsia="Times New Roman" w:hAnsi="Arial" w:cs="Arial"/>
          <w:color w:val="000000"/>
          <w:sz w:val="22"/>
          <w:szCs w:val="22"/>
          <w:lang w:eastAsia="en-GB"/>
        </w:rPr>
        <w:t xml:space="preserve">under the EU GDPR </w:t>
      </w:r>
      <w:r>
        <w:rPr>
          <w:rFonts w:ascii="Arial" w:eastAsia="Times New Roman" w:hAnsi="Arial" w:cs="Arial"/>
          <w:color w:val="000000"/>
          <w:sz w:val="22"/>
          <w:szCs w:val="22"/>
          <w:lang w:eastAsia="en-GB"/>
        </w:rPr>
        <w:t>before the end of the transition period</w:t>
      </w:r>
      <w:r w:rsidR="00A735CE">
        <w:rPr>
          <w:rFonts w:ascii="Arial" w:eastAsia="Times New Roman" w:hAnsi="Arial" w:cs="Arial"/>
          <w:color w:val="000000"/>
          <w:sz w:val="22"/>
          <w:szCs w:val="22"/>
          <w:lang w:eastAsia="en-GB"/>
        </w:rPr>
        <w:t xml:space="preserve">, </w:t>
      </w:r>
      <w:proofErr w:type="gramStart"/>
      <w:r>
        <w:rPr>
          <w:rFonts w:ascii="Arial" w:eastAsia="Times New Roman" w:hAnsi="Arial" w:cs="Arial"/>
          <w:color w:val="000000"/>
          <w:sz w:val="22"/>
          <w:szCs w:val="22"/>
          <w:lang w:eastAsia="en-GB"/>
        </w:rPr>
        <w:t>i.e.</w:t>
      </w:r>
      <w:proofErr w:type="gramEnd"/>
      <w:r>
        <w:rPr>
          <w:rFonts w:ascii="Arial" w:eastAsia="Times New Roman" w:hAnsi="Arial" w:cs="Arial"/>
          <w:color w:val="000000"/>
          <w:sz w:val="22"/>
          <w:szCs w:val="22"/>
          <w:lang w:eastAsia="en-GB"/>
        </w:rPr>
        <w:t xml:space="preserve"> such transfers are restricted unless the recipient country has an adequacy decision, other appropriate safeguards are in place</w:t>
      </w:r>
      <w:r w:rsidR="00A735CE">
        <w:rPr>
          <w:rFonts w:ascii="Arial" w:eastAsia="Times New Roman" w:hAnsi="Arial" w:cs="Arial"/>
          <w:color w:val="000000"/>
          <w:sz w:val="22"/>
          <w:szCs w:val="22"/>
          <w:lang w:eastAsia="en-GB"/>
        </w:rPr>
        <w:t xml:space="preserve"> such as standard contractual clauses or binding corporate rules (see below)</w:t>
      </w:r>
      <w:r>
        <w:rPr>
          <w:rFonts w:ascii="Arial" w:eastAsia="Times New Roman" w:hAnsi="Arial" w:cs="Arial"/>
          <w:color w:val="000000"/>
          <w:sz w:val="22"/>
          <w:szCs w:val="22"/>
          <w:lang w:eastAsia="en-GB"/>
        </w:rPr>
        <w:t>, or an exception applies.</w:t>
      </w:r>
      <w:r w:rsidR="00367A47" w:rsidRPr="00367A47">
        <w:t xml:space="preserve"> </w:t>
      </w:r>
    </w:p>
    <w:p w14:paraId="007AE57D" w14:textId="77777777" w:rsidR="00705E46" w:rsidRPr="00705E46" w:rsidRDefault="00705E46" w:rsidP="00705E46">
      <w:pPr>
        <w:pStyle w:val="ListParagraph"/>
        <w:jc w:val="both"/>
        <w:rPr>
          <w:rFonts w:ascii="Arial" w:eastAsia="Times New Roman" w:hAnsi="Arial" w:cs="Arial"/>
          <w:color w:val="000000"/>
          <w:sz w:val="22"/>
          <w:szCs w:val="22"/>
          <w:lang w:eastAsia="en-GB"/>
        </w:rPr>
      </w:pPr>
    </w:p>
    <w:p w14:paraId="762A19A3" w14:textId="543CD9B3" w:rsidR="000F20E1" w:rsidRDefault="000F20E1" w:rsidP="00C807DB">
      <w:pPr>
        <w:pStyle w:val="ListParagraph"/>
        <w:numPr>
          <w:ilvl w:val="0"/>
          <w:numId w:val="12"/>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T</w:t>
      </w:r>
      <w:r w:rsidR="00367A47" w:rsidRPr="00367A47">
        <w:rPr>
          <w:rFonts w:ascii="Arial" w:eastAsia="Times New Roman" w:hAnsi="Arial" w:cs="Arial"/>
          <w:color w:val="000000"/>
          <w:sz w:val="22"/>
          <w:szCs w:val="22"/>
          <w:lang w:eastAsia="en-GB"/>
        </w:rPr>
        <w:t xml:space="preserve">he UK Government has recognised the effectiveness of existing EU adequacy decisions, so companies in the UK can continue to send data freely to third parties in countries that are covered by an EU adequacy decision. </w:t>
      </w:r>
      <w:r w:rsidR="00367A47">
        <w:rPr>
          <w:rFonts w:ascii="Arial" w:eastAsia="Times New Roman" w:hAnsi="Arial" w:cs="Arial"/>
          <w:color w:val="000000"/>
          <w:sz w:val="22"/>
          <w:szCs w:val="22"/>
          <w:lang w:eastAsia="en-GB"/>
        </w:rPr>
        <w:t>(</w:t>
      </w:r>
      <w:r w:rsidR="00367A47" w:rsidRPr="00367A47">
        <w:rPr>
          <w:rFonts w:ascii="Arial" w:eastAsia="Times New Roman" w:hAnsi="Arial" w:cs="Arial"/>
          <w:color w:val="000000"/>
          <w:sz w:val="22"/>
          <w:szCs w:val="22"/>
          <w:lang w:eastAsia="en-GB"/>
        </w:rPr>
        <w:t>Going forwards, the UK can make its own adequacy decisions</w:t>
      </w:r>
      <w:r w:rsidR="00757151">
        <w:rPr>
          <w:rFonts w:ascii="Arial" w:eastAsia="Times New Roman" w:hAnsi="Arial" w:cs="Arial"/>
          <w:color w:val="000000"/>
          <w:sz w:val="22"/>
          <w:szCs w:val="22"/>
          <w:lang w:eastAsia="en-GB"/>
        </w:rPr>
        <w:t>. S</w:t>
      </w:r>
      <w:r w:rsidR="00FA4A13">
        <w:rPr>
          <w:rFonts w:ascii="Arial" w:eastAsia="Times New Roman" w:hAnsi="Arial" w:cs="Arial"/>
          <w:color w:val="000000"/>
          <w:sz w:val="22"/>
          <w:szCs w:val="22"/>
          <w:lang w:eastAsia="en-GB"/>
        </w:rPr>
        <w:t>o far</w:t>
      </w:r>
      <w:r w:rsidR="00757151">
        <w:rPr>
          <w:rFonts w:ascii="Arial" w:eastAsia="Times New Roman" w:hAnsi="Arial" w:cs="Arial"/>
          <w:color w:val="000000"/>
          <w:sz w:val="22"/>
          <w:szCs w:val="22"/>
          <w:lang w:eastAsia="en-GB"/>
        </w:rPr>
        <w:t>, an adequacy decision has been issued in respect of</w:t>
      </w:r>
      <w:r w:rsidR="00FA4A13">
        <w:rPr>
          <w:rFonts w:ascii="Arial" w:eastAsia="Times New Roman" w:hAnsi="Arial" w:cs="Arial"/>
          <w:color w:val="000000"/>
          <w:sz w:val="22"/>
          <w:szCs w:val="22"/>
          <w:lang w:eastAsia="en-GB"/>
        </w:rPr>
        <w:t xml:space="preserve"> the Republic of Korea (South Korea)</w:t>
      </w:r>
      <w:r w:rsidR="00757151">
        <w:rPr>
          <w:rFonts w:ascii="Arial" w:eastAsia="Times New Roman" w:hAnsi="Arial" w:cs="Arial"/>
          <w:color w:val="000000"/>
          <w:sz w:val="22"/>
          <w:szCs w:val="22"/>
          <w:lang w:eastAsia="en-GB"/>
        </w:rPr>
        <w:t xml:space="preserve">. In </w:t>
      </w:r>
      <w:r w:rsidR="00757151">
        <w:rPr>
          <w:rFonts w:ascii="Arial" w:eastAsia="Times New Roman" w:hAnsi="Arial" w:cs="Arial"/>
          <w:color w:val="000000"/>
          <w:sz w:val="22"/>
          <w:szCs w:val="22"/>
          <w:lang w:eastAsia="en-GB"/>
        </w:rPr>
        <w:lastRenderedPageBreak/>
        <w:t xml:space="preserve">addition, adequacy has been confirmed in respect of organisations in the USA that have signed up to the </w:t>
      </w:r>
      <w:r w:rsidR="00757151" w:rsidRPr="00757151">
        <w:rPr>
          <w:rFonts w:ascii="Arial" w:eastAsia="Times New Roman" w:hAnsi="Arial" w:cs="Arial"/>
          <w:color w:val="000000"/>
          <w:sz w:val="22"/>
          <w:szCs w:val="22"/>
          <w:lang w:eastAsia="en-GB"/>
        </w:rPr>
        <w:t xml:space="preserve">UK Extension to the </w:t>
      </w:r>
      <w:r w:rsidR="00757151">
        <w:rPr>
          <w:rFonts w:ascii="Arial" w:eastAsia="Times New Roman" w:hAnsi="Arial" w:cs="Arial"/>
          <w:color w:val="000000"/>
          <w:sz w:val="22"/>
          <w:szCs w:val="22"/>
          <w:lang w:eastAsia="en-GB"/>
        </w:rPr>
        <w:t xml:space="preserve">EU-US </w:t>
      </w:r>
      <w:r w:rsidR="00757151" w:rsidRPr="00757151">
        <w:rPr>
          <w:rFonts w:ascii="Arial" w:eastAsia="Times New Roman" w:hAnsi="Arial" w:cs="Arial"/>
          <w:color w:val="000000"/>
          <w:sz w:val="22"/>
          <w:szCs w:val="22"/>
          <w:lang w:eastAsia="en-GB"/>
        </w:rPr>
        <w:t>Data Privacy Framework</w:t>
      </w:r>
      <w:r w:rsidR="00757151">
        <w:rPr>
          <w:rFonts w:ascii="Arial" w:eastAsia="Times New Roman" w:hAnsi="Arial" w:cs="Arial"/>
          <w:color w:val="000000"/>
          <w:sz w:val="22"/>
          <w:szCs w:val="22"/>
          <w:lang w:eastAsia="en-GB"/>
        </w:rPr>
        <w:t xml:space="preserve"> – a binding </w:t>
      </w:r>
      <w:bookmarkStart w:id="0" w:name="_Hlk146710411"/>
      <w:r w:rsidR="00757151">
        <w:rPr>
          <w:rFonts w:ascii="Arial" w:eastAsia="Times New Roman" w:hAnsi="Arial" w:cs="Arial"/>
          <w:color w:val="000000"/>
          <w:sz w:val="22"/>
          <w:szCs w:val="22"/>
          <w:lang w:eastAsia="en-GB"/>
        </w:rPr>
        <w:t xml:space="preserve">set of commitments that are enforced in the USA by the </w:t>
      </w:r>
      <w:r w:rsidR="00757151" w:rsidRPr="00757151">
        <w:rPr>
          <w:rFonts w:ascii="Arial" w:eastAsia="Times New Roman" w:hAnsi="Arial" w:cs="Arial"/>
          <w:color w:val="000000"/>
          <w:sz w:val="22"/>
          <w:szCs w:val="22"/>
          <w:lang w:eastAsia="en-GB"/>
        </w:rPr>
        <w:t>Federal Trade Commission</w:t>
      </w:r>
      <w:bookmarkEnd w:id="0"/>
      <w:r w:rsidR="00367A47">
        <w:rPr>
          <w:rFonts w:ascii="Arial" w:eastAsia="Times New Roman" w:hAnsi="Arial" w:cs="Arial"/>
          <w:color w:val="000000"/>
          <w:sz w:val="22"/>
          <w:szCs w:val="22"/>
          <w:lang w:eastAsia="en-GB"/>
        </w:rPr>
        <w:t xml:space="preserve">.) </w:t>
      </w:r>
    </w:p>
    <w:p w14:paraId="324E9C1D" w14:textId="77777777" w:rsidR="000F20E1" w:rsidRPr="000F20E1" w:rsidRDefault="000F20E1" w:rsidP="000F20E1">
      <w:pPr>
        <w:pStyle w:val="ListParagraph"/>
        <w:rPr>
          <w:rFonts w:ascii="Arial" w:eastAsia="Times New Roman" w:hAnsi="Arial" w:cs="Arial"/>
          <w:color w:val="000000"/>
          <w:sz w:val="22"/>
          <w:szCs w:val="22"/>
          <w:lang w:eastAsia="en-GB"/>
        </w:rPr>
      </w:pPr>
    </w:p>
    <w:p w14:paraId="021D1F83" w14:textId="02F5A308" w:rsidR="000F20E1" w:rsidRDefault="000F20E1" w:rsidP="00C807DB">
      <w:pPr>
        <w:pStyle w:val="ListParagraph"/>
        <w:numPr>
          <w:ilvl w:val="0"/>
          <w:numId w:val="12"/>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 xml:space="preserve">The </w:t>
      </w:r>
      <w:r w:rsidRPr="000F20E1">
        <w:rPr>
          <w:rFonts w:ascii="Arial" w:eastAsia="Times New Roman" w:hAnsi="Arial" w:cs="Arial"/>
          <w:color w:val="000000"/>
          <w:sz w:val="22"/>
          <w:szCs w:val="22"/>
          <w:lang w:eastAsia="en-GB"/>
        </w:rPr>
        <w:t xml:space="preserve">safeguard </w:t>
      </w:r>
      <w:proofErr w:type="gramStart"/>
      <w:r w:rsidRPr="000F20E1">
        <w:rPr>
          <w:rFonts w:ascii="Arial" w:eastAsia="Times New Roman" w:hAnsi="Arial" w:cs="Arial"/>
          <w:color w:val="000000"/>
          <w:sz w:val="22"/>
          <w:szCs w:val="22"/>
          <w:lang w:eastAsia="en-GB"/>
        </w:rPr>
        <w:t>most commonly relied</w:t>
      </w:r>
      <w:proofErr w:type="gramEnd"/>
      <w:r w:rsidRPr="000F20E1">
        <w:rPr>
          <w:rFonts w:ascii="Arial" w:eastAsia="Times New Roman" w:hAnsi="Arial" w:cs="Arial"/>
          <w:color w:val="000000"/>
          <w:sz w:val="22"/>
          <w:szCs w:val="22"/>
          <w:lang w:eastAsia="en-GB"/>
        </w:rPr>
        <w:t xml:space="preserve"> on where the recipient country hasn’t been recognised as providing adequate protection is the use of standard contractual clauses (SCCs). </w:t>
      </w:r>
      <w:r w:rsidR="00FA4A13">
        <w:rPr>
          <w:rFonts w:ascii="Arial" w:eastAsia="Times New Roman" w:hAnsi="Arial" w:cs="Arial"/>
          <w:color w:val="000000"/>
          <w:sz w:val="22"/>
          <w:szCs w:val="22"/>
          <w:lang w:eastAsia="en-GB"/>
        </w:rPr>
        <w:t>Y</w:t>
      </w:r>
      <w:r w:rsidRPr="000F20E1">
        <w:rPr>
          <w:rFonts w:ascii="Arial" w:eastAsia="Times New Roman" w:hAnsi="Arial" w:cs="Arial"/>
          <w:color w:val="000000"/>
          <w:sz w:val="22"/>
          <w:szCs w:val="22"/>
          <w:lang w:eastAsia="en-GB"/>
        </w:rPr>
        <w:t xml:space="preserve">ou will </w:t>
      </w:r>
      <w:r w:rsidR="00FA4A13">
        <w:rPr>
          <w:rFonts w:ascii="Arial" w:eastAsia="Times New Roman" w:hAnsi="Arial" w:cs="Arial"/>
          <w:color w:val="000000"/>
          <w:sz w:val="22"/>
          <w:szCs w:val="22"/>
          <w:lang w:eastAsia="en-GB"/>
        </w:rPr>
        <w:t xml:space="preserve">previously </w:t>
      </w:r>
      <w:r w:rsidRPr="000F20E1">
        <w:rPr>
          <w:rFonts w:ascii="Arial" w:eastAsia="Times New Roman" w:hAnsi="Arial" w:cs="Arial"/>
          <w:color w:val="000000"/>
          <w:sz w:val="22"/>
          <w:szCs w:val="22"/>
          <w:lang w:eastAsia="en-GB"/>
        </w:rPr>
        <w:t xml:space="preserve">have been using SCCs that were approved by the EU Commission, of which there are </w:t>
      </w:r>
      <w:proofErr w:type="gramStart"/>
      <w:r w:rsidRPr="000F20E1">
        <w:rPr>
          <w:rFonts w:ascii="Arial" w:eastAsia="Times New Roman" w:hAnsi="Arial" w:cs="Arial"/>
          <w:color w:val="000000"/>
          <w:sz w:val="22"/>
          <w:szCs w:val="22"/>
          <w:lang w:eastAsia="en-GB"/>
        </w:rPr>
        <w:t>various different</w:t>
      </w:r>
      <w:proofErr w:type="gramEnd"/>
      <w:r w:rsidRPr="000F20E1">
        <w:rPr>
          <w:rFonts w:ascii="Arial" w:eastAsia="Times New Roman" w:hAnsi="Arial" w:cs="Arial"/>
          <w:color w:val="000000"/>
          <w:sz w:val="22"/>
          <w:szCs w:val="22"/>
          <w:lang w:eastAsia="en-GB"/>
        </w:rPr>
        <w:t xml:space="preserve"> versions. However, the ICO produced a UK International Data Transfer Agreement (IDTA) to safeguard transfers of personal data outside the UK</w:t>
      </w:r>
      <w:r w:rsidR="00FA4A13">
        <w:rPr>
          <w:rFonts w:ascii="Arial" w:eastAsia="Times New Roman" w:hAnsi="Arial" w:cs="Arial"/>
          <w:color w:val="000000"/>
          <w:sz w:val="22"/>
          <w:szCs w:val="22"/>
          <w:lang w:eastAsia="en-GB"/>
        </w:rPr>
        <w:t>, which became available for use from 21 March 2022</w:t>
      </w:r>
      <w:r w:rsidRPr="000F20E1">
        <w:rPr>
          <w:rFonts w:ascii="Arial" w:eastAsia="Times New Roman" w:hAnsi="Arial" w:cs="Arial"/>
          <w:color w:val="000000"/>
          <w:sz w:val="22"/>
          <w:szCs w:val="22"/>
          <w:lang w:eastAsia="en-GB"/>
        </w:rPr>
        <w:t>.</w:t>
      </w:r>
    </w:p>
    <w:p w14:paraId="35201CEC" w14:textId="77777777" w:rsidR="000F20E1" w:rsidRPr="000F20E1" w:rsidRDefault="000F20E1" w:rsidP="000F20E1">
      <w:pPr>
        <w:pStyle w:val="ListParagraph"/>
        <w:rPr>
          <w:rFonts w:ascii="Arial" w:eastAsia="Times New Roman" w:hAnsi="Arial" w:cs="Arial"/>
          <w:color w:val="000000"/>
          <w:sz w:val="22"/>
          <w:szCs w:val="22"/>
          <w:lang w:eastAsia="en-GB"/>
        </w:rPr>
      </w:pPr>
    </w:p>
    <w:p w14:paraId="4EAF4613" w14:textId="733538D1" w:rsidR="000F20E1" w:rsidRDefault="00FA4A13" w:rsidP="00C807DB">
      <w:pPr>
        <w:pStyle w:val="ListParagraph"/>
        <w:numPr>
          <w:ilvl w:val="0"/>
          <w:numId w:val="12"/>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This IDTA must be used f</w:t>
      </w:r>
      <w:r w:rsidRPr="000F20E1">
        <w:rPr>
          <w:rFonts w:ascii="Arial" w:eastAsia="Times New Roman" w:hAnsi="Arial" w:cs="Arial"/>
          <w:color w:val="000000"/>
          <w:sz w:val="22"/>
          <w:szCs w:val="22"/>
          <w:lang w:eastAsia="en-GB"/>
        </w:rPr>
        <w:t xml:space="preserve">or </w:t>
      </w:r>
      <w:r w:rsidR="000F20E1" w:rsidRPr="000F20E1">
        <w:rPr>
          <w:rFonts w:ascii="Arial" w:eastAsia="Times New Roman" w:hAnsi="Arial" w:cs="Arial"/>
          <w:color w:val="000000"/>
          <w:sz w:val="22"/>
          <w:szCs w:val="22"/>
          <w:lang w:eastAsia="en-GB"/>
        </w:rPr>
        <w:t>new transfers of personal data from the UK commencing after 21 September 2022. Alternatively, if your transfer of personal data outside the UK is part of a broader international exchange of personal data (</w:t>
      </w:r>
      <w:proofErr w:type="gramStart"/>
      <w:r w:rsidR="000F20E1" w:rsidRPr="000F20E1">
        <w:rPr>
          <w:rFonts w:ascii="Arial" w:eastAsia="Times New Roman" w:hAnsi="Arial" w:cs="Arial"/>
          <w:color w:val="000000"/>
          <w:sz w:val="22"/>
          <w:szCs w:val="22"/>
          <w:lang w:eastAsia="en-GB"/>
        </w:rPr>
        <w:t>e.g.</w:t>
      </w:r>
      <w:proofErr w:type="gramEnd"/>
      <w:r w:rsidR="000F20E1" w:rsidRPr="000F20E1">
        <w:rPr>
          <w:rFonts w:ascii="Arial" w:eastAsia="Times New Roman" w:hAnsi="Arial" w:cs="Arial"/>
          <w:color w:val="000000"/>
          <w:sz w:val="22"/>
          <w:szCs w:val="22"/>
          <w:lang w:eastAsia="en-GB"/>
        </w:rPr>
        <w:t xml:space="preserve"> between group companies in a multinational group) and EU SCCs are being used to comply with EU GDPR requirements, you can use a special UK Addendum to those EU SCCs, which has also been produced by the ICO. (Note that the UK Addendum is only suitable for use with the newest version of the EU SCCs, which was published in June 2021.)</w:t>
      </w:r>
    </w:p>
    <w:p w14:paraId="02CCC12D" w14:textId="77777777" w:rsidR="000F20E1" w:rsidRPr="000F20E1" w:rsidRDefault="000F20E1" w:rsidP="000F20E1">
      <w:pPr>
        <w:pStyle w:val="ListParagraph"/>
        <w:rPr>
          <w:rFonts w:ascii="Arial" w:eastAsia="Times New Roman" w:hAnsi="Arial" w:cs="Arial"/>
          <w:color w:val="000000"/>
          <w:sz w:val="22"/>
          <w:szCs w:val="22"/>
          <w:lang w:eastAsia="en-GB"/>
        </w:rPr>
      </w:pPr>
    </w:p>
    <w:p w14:paraId="03F589DA" w14:textId="710C8EC4" w:rsidR="000F20E1" w:rsidRPr="00980D1E" w:rsidRDefault="000F20E1" w:rsidP="00980D1E">
      <w:pPr>
        <w:pStyle w:val="ListParagraph"/>
        <w:numPr>
          <w:ilvl w:val="0"/>
          <w:numId w:val="12"/>
        </w:numPr>
        <w:jc w:val="both"/>
        <w:rPr>
          <w:rFonts w:ascii="Arial" w:eastAsia="Times New Roman" w:hAnsi="Arial" w:cs="Arial"/>
          <w:color w:val="000000"/>
          <w:sz w:val="22"/>
          <w:szCs w:val="22"/>
          <w:lang w:eastAsia="en-GB"/>
        </w:rPr>
      </w:pPr>
      <w:r w:rsidRPr="000F20E1">
        <w:rPr>
          <w:rFonts w:ascii="Arial" w:eastAsia="Times New Roman" w:hAnsi="Arial" w:cs="Arial"/>
          <w:color w:val="000000"/>
          <w:sz w:val="22"/>
          <w:szCs w:val="22"/>
          <w:lang w:eastAsia="en-GB"/>
        </w:rPr>
        <w:t>The ICO has confirmed that the old EU SCCs remain valid for contracts concluded on or before 21 September 2022 and you can continue to rely on them for existing transfers until 21 March 2024</w:t>
      </w:r>
      <w:r w:rsidR="00FA4A13">
        <w:rPr>
          <w:rFonts w:ascii="Arial" w:eastAsia="Times New Roman" w:hAnsi="Arial" w:cs="Arial"/>
          <w:color w:val="000000"/>
          <w:sz w:val="22"/>
          <w:szCs w:val="22"/>
          <w:lang w:eastAsia="en-GB"/>
        </w:rPr>
        <w:t>.</w:t>
      </w:r>
    </w:p>
    <w:p w14:paraId="2FAFCB71" w14:textId="77777777" w:rsidR="000F20E1" w:rsidRPr="000F20E1" w:rsidRDefault="000F20E1" w:rsidP="000F20E1">
      <w:pPr>
        <w:ind w:left="360"/>
        <w:jc w:val="both"/>
        <w:rPr>
          <w:rFonts w:ascii="Arial" w:eastAsia="Times New Roman" w:hAnsi="Arial" w:cs="Arial"/>
          <w:color w:val="000000"/>
          <w:sz w:val="22"/>
          <w:szCs w:val="22"/>
          <w:lang w:eastAsia="en-GB"/>
        </w:rPr>
      </w:pPr>
    </w:p>
    <w:p w14:paraId="4AF25551" w14:textId="5D5F1BE2" w:rsidR="00FA4A13" w:rsidRPr="00FA4A13" w:rsidRDefault="000F20E1" w:rsidP="00FA4A13">
      <w:pPr>
        <w:pStyle w:val="ListParagraph"/>
        <w:numPr>
          <w:ilvl w:val="0"/>
          <w:numId w:val="12"/>
        </w:numPr>
        <w:jc w:val="both"/>
        <w:rPr>
          <w:rFonts w:ascii="Arial" w:eastAsia="Times New Roman" w:hAnsi="Arial" w:cs="Arial"/>
          <w:color w:val="000000"/>
          <w:sz w:val="22"/>
          <w:szCs w:val="22"/>
          <w:lang w:eastAsia="en-GB"/>
        </w:rPr>
      </w:pPr>
      <w:r w:rsidRPr="000F20E1">
        <w:rPr>
          <w:rFonts w:ascii="Arial" w:eastAsia="Times New Roman" w:hAnsi="Arial" w:cs="Arial"/>
          <w:color w:val="000000"/>
          <w:sz w:val="22"/>
          <w:szCs w:val="22"/>
          <w:lang w:eastAsia="en-GB"/>
        </w:rPr>
        <w:t xml:space="preserve">From 21 March 2024, you will need to switch to the IDTA or </w:t>
      </w:r>
      <w:r w:rsidR="0041503F">
        <w:rPr>
          <w:rFonts w:ascii="Arial" w:eastAsia="Times New Roman" w:hAnsi="Arial" w:cs="Arial"/>
          <w:color w:val="000000"/>
          <w:sz w:val="22"/>
          <w:szCs w:val="22"/>
          <w:lang w:eastAsia="en-GB"/>
        </w:rPr>
        <w:t xml:space="preserve">the UK Addendum in conjunction with the </w:t>
      </w:r>
      <w:r w:rsidRPr="000F20E1">
        <w:rPr>
          <w:rFonts w:ascii="Arial" w:eastAsia="Times New Roman" w:hAnsi="Arial" w:cs="Arial"/>
          <w:color w:val="000000"/>
          <w:sz w:val="22"/>
          <w:szCs w:val="22"/>
          <w:lang w:eastAsia="en-GB"/>
        </w:rPr>
        <w:t>new EU SCCs for any ongoing transfers</w:t>
      </w:r>
      <w:r w:rsidR="00CA33B4">
        <w:rPr>
          <w:rFonts w:ascii="Arial" w:eastAsia="Times New Roman" w:hAnsi="Arial" w:cs="Arial"/>
          <w:color w:val="000000"/>
          <w:sz w:val="22"/>
          <w:szCs w:val="22"/>
          <w:lang w:eastAsia="en-GB"/>
        </w:rPr>
        <w:t xml:space="preserve"> of personal data out of the UK</w:t>
      </w:r>
      <w:r w:rsidRPr="000F20E1">
        <w:rPr>
          <w:rFonts w:ascii="Arial" w:eastAsia="Times New Roman" w:hAnsi="Arial" w:cs="Arial"/>
          <w:color w:val="000000"/>
          <w:sz w:val="22"/>
          <w:szCs w:val="22"/>
          <w:lang w:eastAsia="en-GB"/>
        </w:rPr>
        <w:t xml:space="preserve"> that have been reliant on the old EU SCCs.</w:t>
      </w:r>
    </w:p>
    <w:p w14:paraId="14900249" w14:textId="77777777" w:rsidR="000F20E1" w:rsidRPr="000F20E1" w:rsidRDefault="000F20E1" w:rsidP="000F20E1">
      <w:pPr>
        <w:pStyle w:val="ListParagraph"/>
        <w:rPr>
          <w:rFonts w:ascii="Arial" w:eastAsia="Times New Roman" w:hAnsi="Arial" w:cs="Arial"/>
          <w:color w:val="000000"/>
          <w:sz w:val="22"/>
          <w:szCs w:val="22"/>
          <w:lang w:eastAsia="en-GB"/>
        </w:rPr>
      </w:pPr>
    </w:p>
    <w:p w14:paraId="231C6D0B" w14:textId="68EB1A1D" w:rsidR="000F20E1" w:rsidRDefault="000F20E1" w:rsidP="000F20E1">
      <w:pPr>
        <w:pStyle w:val="ListParagraph"/>
        <w:numPr>
          <w:ilvl w:val="0"/>
          <w:numId w:val="12"/>
        </w:numPr>
        <w:jc w:val="both"/>
        <w:rPr>
          <w:rFonts w:ascii="Arial" w:eastAsia="Times New Roman" w:hAnsi="Arial" w:cs="Arial"/>
          <w:color w:val="000000"/>
          <w:sz w:val="22"/>
          <w:szCs w:val="22"/>
          <w:lang w:eastAsia="en-GB"/>
        </w:rPr>
      </w:pPr>
      <w:r w:rsidRPr="00A735CE">
        <w:rPr>
          <w:rFonts w:ascii="Arial" w:eastAsia="Times New Roman" w:hAnsi="Arial" w:cs="Arial"/>
          <w:color w:val="000000"/>
          <w:sz w:val="22"/>
          <w:szCs w:val="22"/>
          <w:lang w:eastAsia="en-GB"/>
        </w:rPr>
        <w:t xml:space="preserve">Another potential appropriate safeguard that companies may rely on are Binding Corporate Rules (BCRs). These are a set of written rules and procedures governing the transfer of personal data between the entities in a corporate group, that has been approved by the national data protection authority in the country where the group is established, usually where the parent company is incorporated. </w:t>
      </w:r>
      <w:r w:rsidR="00866032">
        <w:rPr>
          <w:rFonts w:ascii="Arial" w:eastAsia="Times New Roman" w:hAnsi="Arial" w:cs="Arial"/>
          <w:color w:val="000000"/>
          <w:sz w:val="22"/>
          <w:szCs w:val="22"/>
          <w:lang w:eastAsia="en-GB"/>
        </w:rPr>
        <w:t>Where companies have</w:t>
      </w:r>
      <w:r w:rsidRPr="00A735CE">
        <w:rPr>
          <w:rFonts w:ascii="Arial" w:eastAsia="Times New Roman" w:hAnsi="Arial" w:cs="Arial"/>
          <w:color w:val="000000"/>
          <w:sz w:val="22"/>
          <w:szCs w:val="22"/>
          <w:lang w:eastAsia="en-GB"/>
        </w:rPr>
        <w:t xml:space="preserve"> existing EU-approved BCRs, the ICO </w:t>
      </w:r>
      <w:r w:rsidR="00D464DF">
        <w:rPr>
          <w:rFonts w:ascii="Arial" w:eastAsia="Times New Roman" w:hAnsi="Arial" w:cs="Arial"/>
          <w:color w:val="000000"/>
          <w:sz w:val="22"/>
          <w:szCs w:val="22"/>
          <w:lang w:eastAsia="en-GB"/>
        </w:rPr>
        <w:t>will soon be</w:t>
      </w:r>
      <w:r w:rsidR="00D464DF" w:rsidRPr="00A735CE">
        <w:rPr>
          <w:rFonts w:ascii="Arial" w:eastAsia="Times New Roman" w:hAnsi="Arial" w:cs="Arial"/>
          <w:color w:val="000000"/>
          <w:sz w:val="22"/>
          <w:szCs w:val="22"/>
          <w:lang w:eastAsia="en-GB"/>
        </w:rPr>
        <w:t xml:space="preserve"> </w:t>
      </w:r>
      <w:r w:rsidRPr="00A735CE">
        <w:rPr>
          <w:rFonts w:ascii="Arial" w:eastAsia="Times New Roman" w:hAnsi="Arial" w:cs="Arial"/>
          <w:color w:val="000000"/>
          <w:sz w:val="22"/>
          <w:szCs w:val="22"/>
          <w:lang w:eastAsia="en-GB"/>
        </w:rPr>
        <w:t xml:space="preserve">able to approve a UK </w:t>
      </w:r>
      <w:r w:rsidR="00866032">
        <w:rPr>
          <w:rFonts w:ascii="Arial" w:eastAsia="Times New Roman" w:hAnsi="Arial" w:cs="Arial"/>
          <w:color w:val="000000"/>
          <w:sz w:val="22"/>
          <w:szCs w:val="22"/>
          <w:lang w:eastAsia="en-GB"/>
        </w:rPr>
        <w:t>addendum to</w:t>
      </w:r>
      <w:r w:rsidRPr="00A735CE">
        <w:rPr>
          <w:rFonts w:ascii="Arial" w:eastAsia="Times New Roman" w:hAnsi="Arial" w:cs="Arial"/>
          <w:color w:val="000000"/>
          <w:sz w:val="22"/>
          <w:szCs w:val="22"/>
          <w:lang w:eastAsia="en-GB"/>
        </w:rPr>
        <w:t xml:space="preserve"> such BCRs provided certain conditions are met. Further information on seeking ICO approval of existing BCRs and on applying to the ICO for approval of new UK BCRs is available on the ICO website (</w:t>
      </w:r>
      <w:hyperlink r:id="rId11" w:history="1">
        <w:r w:rsidR="0049345C" w:rsidRPr="0049345C">
          <w:rPr>
            <w:rStyle w:val="Hyperlink"/>
            <w:rFonts w:ascii="Arial" w:hAnsi="Arial" w:cs="Arial"/>
            <w:sz w:val="22"/>
            <w:szCs w:val="22"/>
          </w:rPr>
          <w:t>ht</w:t>
        </w:r>
        <w:r w:rsidR="0049345C" w:rsidRPr="0049345C">
          <w:rPr>
            <w:rStyle w:val="Hyperlink"/>
            <w:rFonts w:ascii="Arial" w:hAnsi="Arial" w:cs="Arial"/>
            <w:sz w:val="22"/>
            <w:szCs w:val="22"/>
          </w:rPr>
          <w:t>t</w:t>
        </w:r>
        <w:r w:rsidR="0049345C" w:rsidRPr="0049345C">
          <w:rPr>
            <w:rStyle w:val="Hyperlink"/>
            <w:rFonts w:ascii="Arial" w:hAnsi="Arial" w:cs="Arial"/>
            <w:sz w:val="22"/>
            <w:szCs w:val="22"/>
          </w:rPr>
          <w:t>ps://ico.org.uk/for-organisations/uk-gdpr-guidance-and-resources/international-transfers/guide-to-binding-corporate-rules/</w:t>
        </w:r>
      </w:hyperlink>
      <w:hyperlink w:history="1"/>
      <w:r w:rsidRPr="00A735CE">
        <w:rPr>
          <w:rFonts w:ascii="Arial" w:eastAsia="Times New Roman" w:hAnsi="Arial" w:cs="Arial"/>
          <w:color w:val="000000"/>
          <w:sz w:val="22"/>
          <w:szCs w:val="22"/>
          <w:lang w:eastAsia="en-GB"/>
        </w:rPr>
        <w:t>)</w:t>
      </w:r>
      <w:r w:rsidRPr="00572A32">
        <w:rPr>
          <w:rFonts w:ascii="Arial" w:eastAsia="Times New Roman" w:hAnsi="Arial" w:cs="Arial"/>
          <w:color w:val="000000"/>
          <w:sz w:val="22"/>
          <w:szCs w:val="22"/>
          <w:lang w:eastAsia="en-GB"/>
        </w:rPr>
        <w:t>.</w:t>
      </w:r>
      <w:r>
        <w:rPr>
          <w:rFonts w:ascii="Arial" w:eastAsia="Times New Roman" w:hAnsi="Arial" w:cs="Arial"/>
          <w:color w:val="000000"/>
          <w:sz w:val="22"/>
          <w:szCs w:val="22"/>
          <w:lang w:eastAsia="en-GB"/>
        </w:rPr>
        <w:t xml:space="preserve"> </w:t>
      </w:r>
    </w:p>
    <w:p w14:paraId="5DB60906" w14:textId="77777777" w:rsidR="00FA4A13" w:rsidRPr="00B06CF0" w:rsidRDefault="00FA4A13" w:rsidP="00B06CF0">
      <w:pPr>
        <w:pStyle w:val="ListParagraph"/>
        <w:rPr>
          <w:rFonts w:ascii="Arial" w:eastAsia="Times New Roman" w:hAnsi="Arial" w:cs="Arial"/>
          <w:color w:val="000000"/>
          <w:sz w:val="22"/>
          <w:szCs w:val="22"/>
          <w:lang w:eastAsia="en-GB"/>
        </w:rPr>
      </w:pPr>
    </w:p>
    <w:p w14:paraId="741B7DCD" w14:textId="1F70EAD7" w:rsidR="00FA4A13" w:rsidRPr="00FA4A13" w:rsidRDefault="00FA4A13" w:rsidP="00FA4A13">
      <w:pPr>
        <w:pStyle w:val="ListParagraph"/>
        <w:numPr>
          <w:ilvl w:val="0"/>
          <w:numId w:val="12"/>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 xml:space="preserve">Note that whenever you wish to transfer personal data to a third party in a country outside the EEA which does not have an adequacy decision, whether you propose to do so in reliance on SCCs, BCRs, or another appropriate safeguard, you will need to conduct a transfer risk assessment first. This is </w:t>
      </w:r>
      <w:r w:rsidRPr="00FA4A13">
        <w:rPr>
          <w:rFonts w:ascii="Arial" w:eastAsia="Times New Roman" w:hAnsi="Arial" w:cs="Arial"/>
          <w:color w:val="000000"/>
          <w:sz w:val="22"/>
          <w:szCs w:val="22"/>
          <w:lang w:eastAsia="en-GB"/>
        </w:rPr>
        <w:t xml:space="preserve">an assessment to establish whether, taking into account the appropriate safeguard you are intending to rely </w:t>
      </w:r>
      <w:proofErr w:type="gramStart"/>
      <w:r w:rsidRPr="00FA4A13">
        <w:rPr>
          <w:rFonts w:ascii="Arial" w:eastAsia="Times New Roman" w:hAnsi="Arial" w:cs="Arial"/>
          <w:color w:val="000000"/>
          <w:sz w:val="22"/>
          <w:szCs w:val="22"/>
          <w:lang w:eastAsia="en-GB"/>
        </w:rPr>
        <w:t>upon</w:t>
      </w:r>
      <w:proofErr w:type="gramEnd"/>
      <w:r w:rsidRPr="00FA4A13">
        <w:rPr>
          <w:rFonts w:ascii="Arial" w:eastAsia="Times New Roman" w:hAnsi="Arial" w:cs="Arial"/>
          <w:color w:val="000000"/>
          <w:sz w:val="22"/>
          <w:szCs w:val="22"/>
          <w:lang w:eastAsia="en-GB"/>
        </w:rPr>
        <w:t xml:space="preserve"> and the protection afforded to data subjects in the destination country, the level of protection for personal data remains equivalent to that in the UK GDPR. If it does not, you would need to take extra steps in addition to implementing your chosen appropriate safeguard. Detailed guidance on </w:t>
      </w:r>
      <w:r w:rsidR="00A63289">
        <w:rPr>
          <w:rFonts w:ascii="Arial" w:eastAsia="Times New Roman" w:hAnsi="Arial" w:cs="Arial"/>
          <w:color w:val="000000"/>
          <w:sz w:val="22"/>
          <w:szCs w:val="22"/>
          <w:lang w:eastAsia="en-GB"/>
        </w:rPr>
        <w:t xml:space="preserve">what </w:t>
      </w:r>
      <w:r w:rsidRPr="00FA4A13">
        <w:rPr>
          <w:rFonts w:ascii="Arial" w:eastAsia="Times New Roman" w:hAnsi="Arial" w:cs="Arial"/>
          <w:color w:val="000000"/>
          <w:sz w:val="22"/>
          <w:szCs w:val="22"/>
          <w:lang w:eastAsia="en-GB"/>
        </w:rPr>
        <w:t xml:space="preserve">transfer risk assessments </w:t>
      </w:r>
      <w:r w:rsidR="00A63289">
        <w:rPr>
          <w:rFonts w:ascii="Arial" w:eastAsia="Times New Roman" w:hAnsi="Arial" w:cs="Arial"/>
          <w:color w:val="000000"/>
          <w:sz w:val="22"/>
          <w:szCs w:val="22"/>
          <w:lang w:eastAsia="en-GB"/>
        </w:rPr>
        <w:t xml:space="preserve">entail </w:t>
      </w:r>
      <w:r w:rsidRPr="00FA4A13">
        <w:rPr>
          <w:rFonts w:ascii="Arial" w:eastAsia="Times New Roman" w:hAnsi="Arial" w:cs="Arial"/>
          <w:color w:val="000000"/>
          <w:sz w:val="22"/>
          <w:szCs w:val="22"/>
          <w:lang w:eastAsia="en-GB"/>
        </w:rPr>
        <w:t>is available on the</w:t>
      </w:r>
      <w:r>
        <w:rPr>
          <w:rFonts w:ascii="Arial" w:eastAsia="Times New Roman" w:hAnsi="Arial" w:cs="Arial"/>
          <w:color w:val="000000"/>
          <w:sz w:val="22"/>
          <w:szCs w:val="22"/>
          <w:lang w:eastAsia="en-GB"/>
        </w:rPr>
        <w:t xml:space="preserve"> ICO website (</w:t>
      </w:r>
      <w:hyperlink r:id="rId12" w:history="1">
        <w:r w:rsidR="005C30C3" w:rsidRPr="003C1614">
          <w:rPr>
            <w:rStyle w:val="Hyperlink"/>
            <w:rFonts w:ascii="Arial" w:hAnsi="Arial" w:cs="Arial"/>
            <w:sz w:val="22"/>
            <w:szCs w:val="22"/>
          </w:rPr>
          <w:t>https://ico.org.uk/for-organisations/uk-gdpr-</w:t>
        </w:r>
        <w:r w:rsidR="005C30C3" w:rsidRPr="003C1614">
          <w:rPr>
            <w:rStyle w:val="Hyperlink"/>
            <w:rFonts w:ascii="Arial" w:hAnsi="Arial" w:cs="Arial"/>
            <w:sz w:val="22"/>
            <w:szCs w:val="22"/>
          </w:rPr>
          <w:lastRenderedPageBreak/>
          <w:t>guidance-and-resources/international-transfers/international-data-transfer-agreement-and-guidance/international-data-transfer-agreement-and-guidance/transfer-risk-assessments/</w:t>
        </w:r>
      </w:hyperlink>
      <w:r w:rsidR="00A63289">
        <w:rPr>
          <w:rFonts w:ascii="Arial" w:eastAsia="Times New Roman" w:hAnsi="Arial" w:cs="Arial"/>
          <w:color w:val="000000"/>
          <w:sz w:val="22"/>
          <w:szCs w:val="22"/>
          <w:lang w:eastAsia="en-GB"/>
        </w:rPr>
        <w:t xml:space="preserve">). </w:t>
      </w:r>
    </w:p>
    <w:p w14:paraId="2AE6361D" w14:textId="77777777" w:rsidR="000F20E1" w:rsidRPr="000F20E1" w:rsidRDefault="000F20E1" w:rsidP="000F20E1">
      <w:pPr>
        <w:pStyle w:val="ListParagraph"/>
        <w:rPr>
          <w:rFonts w:ascii="Arial" w:eastAsia="Times New Roman" w:hAnsi="Arial" w:cs="Arial"/>
          <w:color w:val="000000"/>
          <w:sz w:val="22"/>
          <w:szCs w:val="22"/>
          <w:lang w:eastAsia="en-GB"/>
        </w:rPr>
      </w:pPr>
    </w:p>
    <w:p w14:paraId="4DEA26FA" w14:textId="12B9A873" w:rsidR="000F20E1" w:rsidRPr="000F20E1" w:rsidRDefault="000F20E1" w:rsidP="000F20E1">
      <w:pPr>
        <w:pStyle w:val="ListParagraph"/>
        <w:numPr>
          <w:ilvl w:val="0"/>
          <w:numId w:val="12"/>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 xml:space="preserve">There are also various </w:t>
      </w:r>
      <w:r w:rsidR="00CA33B4">
        <w:rPr>
          <w:rFonts w:ascii="Arial" w:eastAsia="Times New Roman" w:hAnsi="Arial" w:cs="Arial"/>
          <w:color w:val="000000"/>
          <w:sz w:val="22"/>
          <w:szCs w:val="22"/>
          <w:lang w:eastAsia="en-GB"/>
        </w:rPr>
        <w:t>derogations</w:t>
      </w:r>
      <w:r>
        <w:rPr>
          <w:rFonts w:ascii="Arial" w:eastAsia="Times New Roman" w:hAnsi="Arial" w:cs="Arial"/>
          <w:color w:val="000000"/>
          <w:sz w:val="22"/>
          <w:szCs w:val="22"/>
          <w:lang w:eastAsia="en-GB"/>
        </w:rPr>
        <w:t xml:space="preserve"> that permit international transfers of personal data in the absence of an adequacy decision or appropriate safeguards. Most of these will not be relevant in the employment context. However, we discuss possible circumstances in which an employer might rely on one of these </w:t>
      </w:r>
      <w:r w:rsidR="00CA33B4">
        <w:rPr>
          <w:rFonts w:ascii="Arial" w:eastAsia="Times New Roman" w:hAnsi="Arial" w:cs="Arial"/>
          <w:color w:val="000000"/>
          <w:sz w:val="22"/>
          <w:szCs w:val="22"/>
          <w:lang w:eastAsia="en-GB"/>
        </w:rPr>
        <w:t>derogations</w:t>
      </w:r>
      <w:r>
        <w:rPr>
          <w:rFonts w:ascii="Arial" w:eastAsia="Times New Roman" w:hAnsi="Arial" w:cs="Arial"/>
          <w:color w:val="000000"/>
          <w:sz w:val="22"/>
          <w:szCs w:val="22"/>
          <w:lang w:eastAsia="en-GB"/>
        </w:rPr>
        <w:t xml:space="preserve"> in the ‘Points to note’ on the GDPR Template – Employee Privacy Notice.</w:t>
      </w:r>
    </w:p>
    <w:p w14:paraId="48266A4A" w14:textId="77777777" w:rsidR="000F20E1" w:rsidRPr="000F20E1" w:rsidRDefault="000F20E1" w:rsidP="000F20E1">
      <w:pPr>
        <w:pStyle w:val="ListParagraph"/>
        <w:rPr>
          <w:rFonts w:ascii="Arial" w:eastAsia="Times New Roman" w:hAnsi="Arial" w:cs="Arial"/>
          <w:color w:val="000000"/>
          <w:sz w:val="22"/>
          <w:szCs w:val="22"/>
          <w:lang w:eastAsia="en-GB"/>
        </w:rPr>
      </w:pPr>
    </w:p>
    <w:p w14:paraId="705AF592" w14:textId="68B4794A" w:rsidR="003E2591" w:rsidRDefault="00367A47" w:rsidP="00C807DB">
      <w:pPr>
        <w:pStyle w:val="ListParagraph"/>
        <w:numPr>
          <w:ilvl w:val="0"/>
          <w:numId w:val="12"/>
        </w:num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For transfers</w:t>
      </w:r>
      <w:r w:rsidR="000F20E1">
        <w:rPr>
          <w:rFonts w:ascii="Arial" w:eastAsia="Times New Roman" w:hAnsi="Arial" w:cs="Arial"/>
          <w:color w:val="000000"/>
          <w:sz w:val="22"/>
          <w:szCs w:val="22"/>
          <w:lang w:eastAsia="en-GB"/>
        </w:rPr>
        <w:t xml:space="preserve"> of personal data</w:t>
      </w:r>
      <w:r>
        <w:rPr>
          <w:rFonts w:ascii="Arial" w:eastAsia="Times New Roman" w:hAnsi="Arial" w:cs="Arial"/>
          <w:color w:val="000000"/>
          <w:sz w:val="22"/>
          <w:szCs w:val="22"/>
          <w:lang w:eastAsia="en-GB"/>
        </w:rPr>
        <w:t xml:space="preserve"> </w:t>
      </w:r>
      <w:r w:rsidR="00795679">
        <w:rPr>
          <w:rFonts w:ascii="Arial" w:eastAsia="Times New Roman" w:hAnsi="Arial" w:cs="Arial"/>
          <w:color w:val="000000"/>
          <w:sz w:val="22"/>
          <w:szCs w:val="22"/>
          <w:lang w:eastAsia="en-GB"/>
        </w:rPr>
        <w:t>in</w:t>
      </w:r>
      <w:r>
        <w:rPr>
          <w:rFonts w:ascii="Arial" w:eastAsia="Times New Roman" w:hAnsi="Arial" w:cs="Arial"/>
          <w:color w:val="000000"/>
          <w:sz w:val="22"/>
          <w:szCs w:val="22"/>
          <w:lang w:eastAsia="en-GB"/>
        </w:rPr>
        <w:t xml:space="preserve">to the UK, it is important to be aware that other countries’ local data protection laws may impose their own restrictions. </w:t>
      </w:r>
      <w:r w:rsidR="00705E46">
        <w:rPr>
          <w:rFonts w:ascii="Arial" w:eastAsia="Times New Roman" w:hAnsi="Arial" w:cs="Arial"/>
          <w:color w:val="000000"/>
          <w:sz w:val="22"/>
          <w:szCs w:val="22"/>
          <w:lang w:eastAsia="en-GB"/>
        </w:rPr>
        <w:t>C</w:t>
      </w:r>
      <w:r w:rsidRPr="00367A47">
        <w:rPr>
          <w:rFonts w:ascii="Arial" w:eastAsia="Times New Roman" w:hAnsi="Arial" w:cs="Arial"/>
          <w:color w:val="000000"/>
          <w:sz w:val="22"/>
          <w:szCs w:val="22"/>
          <w:lang w:eastAsia="en-GB"/>
        </w:rPr>
        <w:t xml:space="preserve">ountries which have received an adequacy decision from the EU are likely to have had to put in place their own legal restrictions on making transfers of personal data to countries outside the EEA, </w:t>
      </w:r>
      <w:proofErr w:type="gramStart"/>
      <w:r w:rsidRPr="00367A47">
        <w:rPr>
          <w:rFonts w:ascii="Arial" w:eastAsia="Times New Roman" w:hAnsi="Arial" w:cs="Arial"/>
          <w:color w:val="000000"/>
          <w:sz w:val="22"/>
          <w:szCs w:val="22"/>
          <w:lang w:eastAsia="en-GB"/>
        </w:rPr>
        <w:t>in order to</w:t>
      </w:r>
      <w:proofErr w:type="gramEnd"/>
      <w:r w:rsidRPr="00367A47">
        <w:rPr>
          <w:rFonts w:ascii="Arial" w:eastAsia="Times New Roman" w:hAnsi="Arial" w:cs="Arial"/>
          <w:color w:val="000000"/>
          <w:sz w:val="22"/>
          <w:szCs w:val="22"/>
          <w:lang w:eastAsia="en-GB"/>
        </w:rPr>
        <w:t xml:space="preserve"> gain and maintain the adequacy decision in their favour.  Since the UK is no longer in the EEA, transfers of personal data to the UK would now be caught by such restrictions </w:t>
      </w:r>
      <w:r w:rsidR="00134424" w:rsidRPr="00134424">
        <w:rPr>
          <w:rFonts w:ascii="Arial" w:eastAsia="Times New Roman" w:hAnsi="Arial" w:cs="Arial"/>
          <w:color w:val="000000"/>
          <w:sz w:val="22"/>
          <w:szCs w:val="22"/>
          <w:lang w:eastAsia="en-GB"/>
        </w:rPr>
        <w:t xml:space="preserve">However, since the UK now benefits from an EU Commission adequacy decision itself (see above),  the UK Government guidance </w:t>
      </w:r>
      <w:r w:rsidR="00134424">
        <w:rPr>
          <w:rFonts w:ascii="Arial" w:eastAsia="Times New Roman" w:hAnsi="Arial" w:cs="Arial"/>
          <w:color w:val="000000"/>
          <w:sz w:val="22"/>
          <w:szCs w:val="22"/>
          <w:lang w:eastAsia="en-GB"/>
        </w:rPr>
        <w:t>(available online here:</w:t>
      </w:r>
      <w:r w:rsidR="00A07CD6" w:rsidRPr="00A07CD6">
        <w:t xml:space="preserve"> </w:t>
      </w:r>
      <w:hyperlink r:id="rId13" w:anchor="receiving-personal-data-from-the-eueea-and-third-countries-which-have-eu-adequacy-decisions" w:history="1">
        <w:r w:rsidR="00A07CD6" w:rsidRPr="00EE1E61">
          <w:rPr>
            <w:rStyle w:val="Hyperlink"/>
            <w:rFonts w:ascii="Arial" w:eastAsia="Times New Roman" w:hAnsi="Arial" w:cs="Arial"/>
            <w:sz w:val="22"/>
            <w:szCs w:val="22"/>
            <w:lang w:eastAsia="en-GB"/>
          </w:rPr>
          <w:t>https://www.gov.uk/guidance/using-personal-data-in-your-business-or-other-organisation#receiving-personal-data-from-the-eueea-and-third-countries-which-have-eu-adequacy-decisions</w:t>
        </w:r>
      </w:hyperlink>
      <w:r w:rsidR="00134424" w:rsidRPr="009D5C89">
        <w:rPr>
          <w:rFonts w:ascii="Arial" w:eastAsia="Times New Roman" w:hAnsi="Arial" w:cs="Arial"/>
          <w:color w:val="000000"/>
          <w:sz w:val="22"/>
          <w:szCs w:val="22"/>
          <w:lang w:eastAsia="en-GB"/>
        </w:rPr>
        <w:t>)</w:t>
      </w:r>
      <w:r w:rsidR="00134424">
        <w:rPr>
          <w:rFonts w:ascii="Arial" w:eastAsia="Times New Roman" w:hAnsi="Arial" w:cs="Arial"/>
          <w:color w:val="000000"/>
          <w:sz w:val="22"/>
          <w:szCs w:val="22"/>
          <w:lang w:eastAsia="en-GB"/>
        </w:rPr>
        <w:t xml:space="preserve"> </w:t>
      </w:r>
      <w:r w:rsidR="00134424" w:rsidRPr="00134424">
        <w:rPr>
          <w:rFonts w:ascii="Arial" w:eastAsia="Times New Roman" w:hAnsi="Arial" w:cs="Arial"/>
          <w:color w:val="000000"/>
          <w:sz w:val="22"/>
          <w:szCs w:val="22"/>
          <w:lang w:eastAsia="en-GB"/>
        </w:rPr>
        <w:t xml:space="preserve">confirms that all of the other 12 countries that have EU adequacy decisions are maintaining unrestricted personal data flows with the UK. </w:t>
      </w:r>
      <w:r>
        <w:rPr>
          <w:rFonts w:ascii="Arial" w:eastAsia="Times New Roman" w:hAnsi="Arial" w:cs="Arial"/>
          <w:color w:val="000000"/>
          <w:sz w:val="22"/>
          <w:szCs w:val="22"/>
          <w:lang w:eastAsia="en-GB"/>
        </w:rPr>
        <w:t>Further information is available in</w:t>
      </w:r>
      <w:r w:rsidRPr="00367A47">
        <w:rPr>
          <w:rFonts w:ascii="Arial" w:eastAsia="Times New Roman" w:hAnsi="Arial" w:cs="Arial"/>
          <w:color w:val="000000"/>
          <w:sz w:val="22"/>
          <w:szCs w:val="22"/>
          <w:lang w:eastAsia="en-GB"/>
        </w:rPr>
        <w:t xml:space="preserve"> the ICO’s guidance on international transfers of personal data, (</w:t>
      </w:r>
      <w:r>
        <w:rPr>
          <w:rFonts w:ascii="Arial" w:eastAsia="Times New Roman" w:hAnsi="Arial" w:cs="Arial"/>
          <w:color w:val="000000"/>
          <w:sz w:val="22"/>
          <w:szCs w:val="22"/>
          <w:lang w:eastAsia="en-GB"/>
        </w:rPr>
        <w:t xml:space="preserve">available online here: </w:t>
      </w:r>
      <w:hyperlink r:id="rId14" w:history="1">
        <w:r w:rsidR="005C30C3" w:rsidRPr="003C1614">
          <w:rPr>
            <w:rStyle w:val="Hyperlink"/>
            <w:rFonts w:ascii="Arial" w:hAnsi="Arial" w:cs="Arial"/>
            <w:sz w:val="22"/>
            <w:szCs w:val="22"/>
          </w:rPr>
          <w:t>https://ico.org.uk/for-organisations/data-protection-and-the-eu/data-protection-and-the-eu-in-detail/the-uk-gdpr/international-data-transfers/</w:t>
        </w:r>
      </w:hyperlink>
      <w:r w:rsidR="005C30C3">
        <w:rPr>
          <w:rFonts w:ascii="Arial" w:eastAsia="Times New Roman" w:hAnsi="Arial" w:cs="Arial"/>
          <w:color w:val="000000"/>
          <w:sz w:val="22"/>
          <w:szCs w:val="22"/>
          <w:lang w:eastAsia="en-GB"/>
        </w:rPr>
        <w:t xml:space="preserve"> </w:t>
      </w:r>
      <w:r w:rsidRPr="00367A47">
        <w:rPr>
          <w:rFonts w:ascii="Arial" w:eastAsia="Times New Roman" w:hAnsi="Arial" w:cs="Arial"/>
          <w:color w:val="000000"/>
          <w:sz w:val="22"/>
          <w:szCs w:val="22"/>
          <w:lang w:eastAsia="en-GB"/>
        </w:rPr>
        <w:t>under the heading ‘How can we maintain transfers into the UK from countries, territories or sectors covered by an EC adequacy decision?’)</w:t>
      </w:r>
      <w:r>
        <w:rPr>
          <w:rFonts w:ascii="Arial" w:eastAsia="Times New Roman" w:hAnsi="Arial" w:cs="Arial"/>
          <w:color w:val="000000"/>
          <w:sz w:val="22"/>
          <w:szCs w:val="22"/>
          <w:lang w:eastAsia="en-GB"/>
        </w:rPr>
        <w:t>.</w:t>
      </w:r>
      <w:r w:rsidR="006D21C6">
        <w:rPr>
          <w:rFonts w:ascii="Arial" w:eastAsia="Times New Roman" w:hAnsi="Arial" w:cs="Arial"/>
          <w:color w:val="000000"/>
          <w:sz w:val="22"/>
          <w:szCs w:val="22"/>
          <w:lang w:eastAsia="en-GB"/>
        </w:rPr>
        <w:t xml:space="preserve"> </w:t>
      </w:r>
    </w:p>
    <w:p w14:paraId="675C4F53" w14:textId="77777777" w:rsidR="00167769" w:rsidRPr="00167769" w:rsidRDefault="00167769" w:rsidP="00167769">
      <w:pPr>
        <w:jc w:val="both"/>
        <w:rPr>
          <w:rFonts w:ascii="Arial" w:eastAsia="Times New Roman" w:hAnsi="Arial" w:cs="Arial"/>
          <w:b/>
          <w:color w:val="000000"/>
          <w:sz w:val="22"/>
          <w:szCs w:val="22"/>
          <w:lang w:eastAsia="en-GB"/>
        </w:rPr>
      </w:pPr>
    </w:p>
    <w:p w14:paraId="7808C5B4" w14:textId="77777777" w:rsidR="00CF1157" w:rsidRDefault="00CF1157" w:rsidP="007E3A16">
      <w:pPr>
        <w:jc w:val="both"/>
        <w:rPr>
          <w:rFonts w:ascii="Arial" w:eastAsia="Times New Roman" w:hAnsi="Arial" w:cs="Arial"/>
          <w:b/>
          <w:color w:val="000000"/>
          <w:sz w:val="22"/>
          <w:szCs w:val="22"/>
          <w:lang w:eastAsia="en-GB"/>
        </w:rPr>
      </w:pPr>
    </w:p>
    <w:p w14:paraId="5408CAEE" w14:textId="77777777" w:rsidR="00E55280" w:rsidRDefault="00E55280">
      <w:pPr>
        <w:rPr>
          <w:rFonts w:ascii="Arial" w:eastAsia="Times New Roman" w:hAnsi="Arial" w:cs="Arial"/>
          <w:b/>
          <w:color w:val="000000"/>
          <w:lang w:eastAsia="en-GB"/>
        </w:rPr>
      </w:pPr>
      <w:r>
        <w:rPr>
          <w:rFonts w:ascii="Arial" w:eastAsia="Times New Roman" w:hAnsi="Arial" w:cs="Arial"/>
          <w:b/>
          <w:color w:val="000000"/>
          <w:lang w:eastAsia="en-GB"/>
        </w:rPr>
        <w:br w:type="page"/>
      </w:r>
    </w:p>
    <w:p w14:paraId="2215A43E" w14:textId="6EEEA3A4" w:rsidR="001C0DA8" w:rsidRPr="00DF3C6C" w:rsidRDefault="00103B6F" w:rsidP="007E3A16">
      <w:pPr>
        <w:jc w:val="both"/>
        <w:rPr>
          <w:rFonts w:ascii="Arial" w:eastAsia="Times New Roman" w:hAnsi="Arial" w:cs="Arial"/>
          <w:b/>
          <w:color w:val="000000"/>
          <w:lang w:eastAsia="en-GB"/>
        </w:rPr>
      </w:pPr>
      <w:r w:rsidRPr="00DF3C6C">
        <w:rPr>
          <w:rFonts w:ascii="Arial" w:eastAsia="Times New Roman" w:hAnsi="Arial" w:cs="Arial"/>
          <w:b/>
          <w:color w:val="000000"/>
          <w:lang w:eastAsia="en-GB"/>
        </w:rPr>
        <w:lastRenderedPageBreak/>
        <w:t>Disclaimer</w:t>
      </w:r>
    </w:p>
    <w:p w14:paraId="520036F1" w14:textId="77777777" w:rsidR="001C0DA8" w:rsidRDefault="001C0DA8" w:rsidP="007E3A16">
      <w:pPr>
        <w:jc w:val="both"/>
        <w:rPr>
          <w:rFonts w:ascii="Arial" w:eastAsia="Times New Roman" w:hAnsi="Arial" w:cs="Arial"/>
          <w:b/>
          <w:color w:val="000000"/>
          <w:sz w:val="22"/>
          <w:szCs w:val="22"/>
          <w:lang w:eastAsia="en-GB"/>
        </w:rPr>
      </w:pPr>
    </w:p>
    <w:p w14:paraId="6D48A7D2" w14:textId="1E55A9C5" w:rsidR="001C0DA8" w:rsidRDefault="004324AA" w:rsidP="007E3A16">
      <w:p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This v</w:t>
      </w:r>
      <w:r w:rsidR="00597E78">
        <w:rPr>
          <w:rFonts w:ascii="Arial" w:eastAsia="Times New Roman" w:hAnsi="Arial" w:cs="Arial"/>
          <w:color w:val="000000"/>
          <w:sz w:val="22"/>
          <w:szCs w:val="22"/>
          <w:lang w:eastAsia="en-GB"/>
        </w:rPr>
        <w:t>ersion of t</w:t>
      </w:r>
      <w:r w:rsidR="00C948F4">
        <w:rPr>
          <w:rFonts w:ascii="Arial" w:eastAsia="Times New Roman" w:hAnsi="Arial" w:cs="Arial"/>
          <w:color w:val="000000"/>
          <w:sz w:val="22"/>
          <w:szCs w:val="22"/>
          <w:lang w:eastAsia="en-GB"/>
        </w:rPr>
        <w:t xml:space="preserve">he </w:t>
      </w:r>
      <w:r w:rsidR="003F5BA9">
        <w:rPr>
          <w:rFonts w:ascii="Arial" w:eastAsia="Times New Roman" w:hAnsi="Arial" w:cs="Arial"/>
          <w:color w:val="000000"/>
          <w:sz w:val="22"/>
          <w:szCs w:val="22"/>
          <w:lang w:eastAsia="en-GB"/>
        </w:rPr>
        <w:t>‘</w:t>
      </w:r>
      <w:r w:rsidR="00C948F4" w:rsidRPr="00C948F4">
        <w:rPr>
          <w:rFonts w:ascii="Arial" w:eastAsia="Times New Roman" w:hAnsi="Arial" w:cs="Arial"/>
          <w:color w:val="000000"/>
          <w:sz w:val="22"/>
          <w:szCs w:val="22"/>
          <w:lang w:eastAsia="en-GB"/>
        </w:rPr>
        <w:t>Essential GDPR Templates for HR</w:t>
      </w:r>
      <w:r w:rsidR="003F5BA9">
        <w:rPr>
          <w:rFonts w:ascii="Arial" w:eastAsia="Times New Roman" w:hAnsi="Arial" w:cs="Arial"/>
          <w:color w:val="000000"/>
          <w:sz w:val="22"/>
          <w:szCs w:val="22"/>
          <w:lang w:eastAsia="en-GB"/>
        </w:rPr>
        <w:t>’</w:t>
      </w:r>
      <w:r w:rsidR="00C948F4">
        <w:rPr>
          <w:rFonts w:ascii="Arial" w:eastAsia="Times New Roman" w:hAnsi="Arial" w:cs="Arial"/>
          <w:color w:val="000000"/>
          <w:sz w:val="22"/>
          <w:szCs w:val="22"/>
          <w:lang w:eastAsia="en-GB"/>
        </w:rPr>
        <w:t xml:space="preserve"> suite of documents reflect</w:t>
      </w:r>
      <w:r w:rsidR="00040FE3">
        <w:rPr>
          <w:rFonts w:ascii="Arial" w:eastAsia="Times New Roman" w:hAnsi="Arial" w:cs="Arial"/>
          <w:color w:val="000000"/>
          <w:sz w:val="22"/>
          <w:szCs w:val="22"/>
          <w:lang w:eastAsia="en-GB"/>
        </w:rPr>
        <w:t>s</w:t>
      </w:r>
      <w:r w:rsidR="00C948F4">
        <w:rPr>
          <w:rFonts w:ascii="Arial" w:eastAsia="Times New Roman" w:hAnsi="Arial" w:cs="Arial"/>
          <w:color w:val="000000"/>
          <w:sz w:val="22"/>
          <w:szCs w:val="22"/>
          <w:lang w:eastAsia="en-GB"/>
        </w:rPr>
        <w:t xml:space="preserve"> the requirements of the </w:t>
      </w:r>
      <w:r w:rsidR="003E2591">
        <w:rPr>
          <w:rFonts w:ascii="Arial" w:eastAsia="Times New Roman" w:hAnsi="Arial" w:cs="Arial"/>
          <w:color w:val="000000"/>
          <w:sz w:val="22"/>
          <w:szCs w:val="22"/>
          <w:lang w:eastAsia="en-GB"/>
        </w:rPr>
        <w:t xml:space="preserve">UK </w:t>
      </w:r>
      <w:r w:rsidR="00C948F4">
        <w:rPr>
          <w:rFonts w:ascii="Arial" w:eastAsia="Times New Roman" w:hAnsi="Arial" w:cs="Arial"/>
          <w:color w:val="000000"/>
          <w:sz w:val="22"/>
          <w:szCs w:val="22"/>
          <w:lang w:eastAsia="en-GB"/>
        </w:rPr>
        <w:t xml:space="preserve">GDPR and the </w:t>
      </w:r>
      <w:r w:rsidR="00F90F23">
        <w:rPr>
          <w:rFonts w:ascii="Arial" w:eastAsia="Times New Roman" w:hAnsi="Arial" w:cs="Arial"/>
          <w:color w:val="000000"/>
          <w:sz w:val="22"/>
          <w:szCs w:val="22"/>
          <w:lang w:eastAsia="en-GB"/>
        </w:rPr>
        <w:t>DPA</w:t>
      </w:r>
      <w:r w:rsidR="00C948F4">
        <w:rPr>
          <w:rFonts w:ascii="Arial" w:eastAsia="Times New Roman" w:hAnsi="Arial" w:cs="Arial"/>
          <w:color w:val="000000"/>
          <w:sz w:val="22"/>
          <w:szCs w:val="22"/>
          <w:lang w:eastAsia="en-GB"/>
        </w:rPr>
        <w:t xml:space="preserve"> 2018, as well as I</w:t>
      </w:r>
      <w:r w:rsidR="00040FE3">
        <w:rPr>
          <w:rFonts w:ascii="Arial" w:eastAsia="Times New Roman" w:hAnsi="Arial" w:cs="Arial"/>
          <w:color w:val="000000"/>
          <w:sz w:val="22"/>
          <w:szCs w:val="22"/>
          <w:lang w:eastAsia="en-GB"/>
        </w:rPr>
        <w:t xml:space="preserve">nformation </w:t>
      </w:r>
      <w:r w:rsidR="00C948F4">
        <w:rPr>
          <w:rFonts w:ascii="Arial" w:eastAsia="Times New Roman" w:hAnsi="Arial" w:cs="Arial"/>
          <w:color w:val="000000"/>
          <w:sz w:val="22"/>
          <w:szCs w:val="22"/>
          <w:lang w:eastAsia="en-GB"/>
        </w:rPr>
        <w:t>C</w:t>
      </w:r>
      <w:r w:rsidR="00040FE3">
        <w:rPr>
          <w:rFonts w:ascii="Arial" w:eastAsia="Times New Roman" w:hAnsi="Arial" w:cs="Arial"/>
          <w:color w:val="000000"/>
          <w:sz w:val="22"/>
          <w:szCs w:val="22"/>
          <w:lang w:eastAsia="en-GB"/>
        </w:rPr>
        <w:t xml:space="preserve">ommissioner’s </w:t>
      </w:r>
      <w:r w:rsidR="00C948F4">
        <w:rPr>
          <w:rFonts w:ascii="Arial" w:eastAsia="Times New Roman" w:hAnsi="Arial" w:cs="Arial"/>
          <w:color w:val="000000"/>
          <w:sz w:val="22"/>
          <w:szCs w:val="22"/>
          <w:lang w:eastAsia="en-GB"/>
        </w:rPr>
        <w:t>O</w:t>
      </w:r>
      <w:r w:rsidR="00040FE3">
        <w:rPr>
          <w:rFonts w:ascii="Arial" w:eastAsia="Times New Roman" w:hAnsi="Arial" w:cs="Arial"/>
          <w:color w:val="000000"/>
          <w:sz w:val="22"/>
          <w:szCs w:val="22"/>
          <w:lang w:eastAsia="en-GB"/>
        </w:rPr>
        <w:t>ffice</w:t>
      </w:r>
      <w:r w:rsidR="00C948F4">
        <w:rPr>
          <w:rFonts w:ascii="Arial" w:eastAsia="Times New Roman" w:hAnsi="Arial" w:cs="Arial"/>
          <w:color w:val="000000"/>
          <w:sz w:val="22"/>
          <w:szCs w:val="22"/>
          <w:lang w:eastAsia="en-GB"/>
        </w:rPr>
        <w:t xml:space="preserve"> guidance </w:t>
      </w:r>
      <w:r w:rsidR="00C63580">
        <w:rPr>
          <w:rFonts w:ascii="Arial" w:eastAsia="Times New Roman" w:hAnsi="Arial" w:cs="Arial"/>
          <w:color w:val="000000"/>
          <w:sz w:val="22"/>
          <w:szCs w:val="22"/>
          <w:lang w:eastAsia="en-GB"/>
        </w:rPr>
        <w:t xml:space="preserve">in force </w:t>
      </w:r>
      <w:r w:rsidR="00C948F4">
        <w:rPr>
          <w:rFonts w:ascii="Arial" w:eastAsia="Times New Roman" w:hAnsi="Arial" w:cs="Arial"/>
          <w:color w:val="000000"/>
          <w:sz w:val="22"/>
          <w:szCs w:val="22"/>
          <w:lang w:eastAsia="en-GB"/>
        </w:rPr>
        <w:t xml:space="preserve">as </w:t>
      </w:r>
      <w:proofErr w:type="gramStart"/>
      <w:r w:rsidR="00C948F4">
        <w:rPr>
          <w:rFonts w:ascii="Arial" w:eastAsia="Times New Roman" w:hAnsi="Arial" w:cs="Arial"/>
          <w:color w:val="000000"/>
          <w:sz w:val="22"/>
          <w:szCs w:val="22"/>
          <w:lang w:eastAsia="en-GB"/>
        </w:rPr>
        <w:t>at</w:t>
      </w:r>
      <w:proofErr w:type="gramEnd"/>
      <w:r w:rsidR="00C948F4">
        <w:rPr>
          <w:rFonts w:ascii="Arial" w:eastAsia="Times New Roman" w:hAnsi="Arial" w:cs="Arial"/>
          <w:color w:val="000000"/>
          <w:sz w:val="22"/>
          <w:szCs w:val="22"/>
          <w:lang w:eastAsia="en-GB"/>
        </w:rPr>
        <w:t xml:space="preserve"> </w:t>
      </w:r>
      <w:r w:rsidR="000D792E">
        <w:rPr>
          <w:rFonts w:ascii="Arial" w:eastAsia="Times New Roman" w:hAnsi="Arial" w:cs="Arial"/>
          <w:color w:val="000000"/>
          <w:sz w:val="22"/>
          <w:szCs w:val="22"/>
          <w:lang w:eastAsia="en-GB"/>
        </w:rPr>
        <w:t xml:space="preserve">October </w:t>
      </w:r>
      <w:r w:rsidR="00FA4A13">
        <w:rPr>
          <w:rFonts w:ascii="Arial" w:eastAsia="Times New Roman" w:hAnsi="Arial" w:cs="Arial"/>
          <w:color w:val="000000"/>
          <w:sz w:val="22"/>
          <w:szCs w:val="22"/>
          <w:lang w:eastAsia="en-GB"/>
        </w:rPr>
        <w:t>2023</w:t>
      </w:r>
      <w:r w:rsidR="0093447C">
        <w:rPr>
          <w:rFonts w:ascii="Arial" w:eastAsia="Times New Roman" w:hAnsi="Arial" w:cs="Arial"/>
          <w:color w:val="000000"/>
          <w:sz w:val="22"/>
          <w:szCs w:val="22"/>
          <w:lang w:eastAsia="en-GB"/>
        </w:rPr>
        <w:t xml:space="preserve">, unless otherwise stated in the ‘Points to note’ </w:t>
      </w:r>
      <w:r w:rsidR="00C4370F">
        <w:rPr>
          <w:rFonts w:ascii="Arial" w:eastAsia="Times New Roman" w:hAnsi="Arial" w:cs="Arial"/>
          <w:color w:val="000000"/>
          <w:sz w:val="22"/>
          <w:szCs w:val="22"/>
          <w:lang w:eastAsia="en-GB"/>
        </w:rPr>
        <w:t>accompanying</w:t>
      </w:r>
      <w:r w:rsidR="0093447C">
        <w:rPr>
          <w:rFonts w:ascii="Arial" w:eastAsia="Times New Roman" w:hAnsi="Arial" w:cs="Arial"/>
          <w:color w:val="000000"/>
          <w:sz w:val="22"/>
          <w:szCs w:val="22"/>
          <w:lang w:eastAsia="en-GB"/>
        </w:rPr>
        <w:t xml:space="preserve"> the individual document</w:t>
      </w:r>
      <w:r w:rsidR="00C948F4">
        <w:rPr>
          <w:rFonts w:ascii="Arial" w:eastAsia="Times New Roman" w:hAnsi="Arial" w:cs="Arial"/>
          <w:color w:val="000000"/>
          <w:sz w:val="22"/>
          <w:szCs w:val="22"/>
          <w:lang w:eastAsia="en-GB"/>
        </w:rPr>
        <w:t xml:space="preserve">. </w:t>
      </w:r>
    </w:p>
    <w:p w14:paraId="1B626D7F" w14:textId="77777777" w:rsidR="001C0DA8" w:rsidRDefault="001C0DA8" w:rsidP="007E3A16">
      <w:pPr>
        <w:jc w:val="both"/>
        <w:rPr>
          <w:rFonts w:ascii="Arial" w:eastAsia="Times New Roman" w:hAnsi="Arial" w:cs="Arial"/>
          <w:color w:val="000000"/>
          <w:sz w:val="22"/>
          <w:szCs w:val="22"/>
          <w:lang w:eastAsia="en-GB"/>
        </w:rPr>
      </w:pPr>
    </w:p>
    <w:p w14:paraId="2A0F586F" w14:textId="192A3ADB" w:rsidR="001C0DA8" w:rsidRDefault="001C0DA8" w:rsidP="007E3A16">
      <w:p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T</w:t>
      </w:r>
      <w:r w:rsidR="00C948F4">
        <w:rPr>
          <w:rFonts w:ascii="Arial" w:eastAsia="Times New Roman" w:hAnsi="Arial" w:cs="Arial"/>
          <w:color w:val="000000"/>
          <w:sz w:val="22"/>
          <w:szCs w:val="22"/>
          <w:lang w:eastAsia="en-GB"/>
        </w:rPr>
        <w:t>he documents require customisation to accurately reflect data protection practice</w:t>
      </w:r>
      <w:r w:rsidR="006447A8">
        <w:rPr>
          <w:rFonts w:ascii="Arial" w:eastAsia="Times New Roman" w:hAnsi="Arial" w:cs="Arial"/>
          <w:color w:val="000000"/>
          <w:sz w:val="22"/>
          <w:szCs w:val="22"/>
          <w:lang w:eastAsia="en-GB"/>
        </w:rPr>
        <w:t>s</w:t>
      </w:r>
      <w:r w:rsidR="00C948F4">
        <w:rPr>
          <w:rFonts w:ascii="Arial" w:eastAsia="Times New Roman" w:hAnsi="Arial" w:cs="Arial"/>
          <w:color w:val="000000"/>
          <w:sz w:val="22"/>
          <w:szCs w:val="22"/>
          <w:lang w:eastAsia="en-GB"/>
        </w:rPr>
        <w:t xml:space="preserve"> within your organisation. You are responsible for ensuring that you fully understand the documents and for customising them so that they are suitable for use in your organisation. </w:t>
      </w:r>
    </w:p>
    <w:p w14:paraId="577FFD91" w14:textId="77777777" w:rsidR="001C0DA8" w:rsidRDefault="001C0DA8" w:rsidP="007E3A16">
      <w:pPr>
        <w:jc w:val="both"/>
        <w:rPr>
          <w:rFonts w:ascii="Arial" w:eastAsia="Times New Roman" w:hAnsi="Arial" w:cs="Arial"/>
          <w:color w:val="000000"/>
          <w:sz w:val="22"/>
          <w:szCs w:val="22"/>
          <w:lang w:eastAsia="en-GB"/>
        </w:rPr>
      </w:pPr>
    </w:p>
    <w:p w14:paraId="79AA356E" w14:textId="2948C96F" w:rsidR="00FD24E2" w:rsidRDefault="00C948F4" w:rsidP="007E3A16">
      <w:pPr>
        <w:jc w:val="both"/>
        <w:rPr>
          <w:rFonts w:ascii="Arial" w:eastAsia="Times New Roman" w:hAnsi="Arial" w:cs="Arial"/>
          <w:color w:val="000000"/>
          <w:sz w:val="22"/>
          <w:szCs w:val="22"/>
          <w:lang w:eastAsia="en-GB"/>
        </w:rPr>
      </w:pPr>
      <w:r>
        <w:rPr>
          <w:rFonts w:ascii="Arial" w:eastAsia="Times New Roman" w:hAnsi="Arial" w:cs="Arial"/>
          <w:color w:val="000000"/>
          <w:sz w:val="22"/>
          <w:szCs w:val="22"/>
          <w:lang w:eastAsia="en-GB"/>
        </w:rPr>
        <w:t>The</w:t>
      </w:r>
      <w:r w:rsidR="00BE2C33">
        <w:rPr>
          <w:rFonts w:ascii="Arial" w:eastAsia="Times New Roman" w:hAnsi="Arial" w:cs="Arial"/>
          <w:color w:val="000000"/>
          <w:sz w:val="22"/>
          <w:szCs w:val="22"/>
          <w:lang w:eastAsia="en-GB"/>
        </w:rPr>
        <w:t xml:space="preserve"> </w:t>
      </w:r>
      <w:r w:rsidR="003F5BA9">
        <w:rPr>
          <w:rFonts w:ascii="Arial" w:eastAsia="Times New Roman" w:hAnsi="Arial" w:cs="Arial"/>
          <w:color w:val="000000"/>
          <w:sz w:val="22"/>
          <w:szCs w:val="22"/>
          <w:lang w:eastAsia="en-GB"/>
        </w:rPr>
        <w:t>‘Points to note’</w:t>
      </w:r>
      <w:r>
        <w:rPr>
          <w:rFonts w:ascii="Arial" w:eastAsia="Times New Roman" w:hAnsi="Arial" w:cs="Arial"/>
          <w:color w:val="000000"/>
          <w:sz w:val="22"/>
          <w:szCs w:val="22"/>
          <w:lang w:eastAsia="en-GB"/>
        </w:rPr>
        <w:t xml:space="preserve"> </w:t>
      </w:r>
      <w:r w:rsidR="00BE2C33">
        <w:rPr>
          <w:rFonts w:ascii="Arial" w:eastAsia="Times New Roman" w:hAnsi="Arial" w:cs="Arial"/>
          <w:color w:val="000000"/>
          <w:sz w:val="22"/>
          <w:szCs w:val="22"/>
          <w:lang w:eastAsia="en-GB"/>
        </w:rPr>
        <w:t>(and, where applicable, customisation tables)</w:t>
      </w:r>
      <w:r>
        <w:rPr>
          <w:rFonts w:ascii="Arial" w:eastAsia="Times New Roman" w:hAnsi="Arial" w:cs="Arial"/>
          <w:color w:val="000000"/>
          <w:sz w:val="22"/>
          <w:szCs w:val="22"/>
          <w:lang w:eastAsia="en-GB"/>
        </w:rPr>
        <w:t xml:space="preserve"> </w:t>
      </w:r>
      <w:r w:rsidR="001C0DA8">
        <w:rPr>
          <w:rFonts w:ascii="Arial" w:eastAsia="Times New Roman" w:hAnsi="Arial" w:cs="Arial"/>
          <w:color w:val="000000"/>
          <w:sz w:val="22"/>
          <w:szCs w:val="22"/>
          <w:lang w:eastAsia="en-GB"/>
        </w:rPr>
        <w:t xml:space="preserve">that accompany the documents </w:t>
      </w:r>
      <w:r>
        <w:rPr>
          <w:rFonts w:ascii="Arial" w:eastAsia="Times New Roman" w:hAnsi="Arial" w:cs="Arial"/>
          <w:color w:val="000000"/>
          <w:sz w:val="22"/>
          <w:szCs w:val="22"/>
          <w:lang w:eastAsia="en-GB"/>
        </w:rPr>
        <w:t>are intended to provide explanations and guidance to assist you with this, but they are general in nature</w:t>
      </w:r>
      <w:r w:rsidR="001C0DA8">
        <w:rPr>
          <w:rFonts w:ascii="Arial" w:eastAsia="Times New Roman" w:hAnsi="Arial" w:cs="Arial"/>
          <w:color w:val="000000"/>
          <w:sz w:val="22"/>
          <w:szCs w:val="22"/>
          <w:lang w:eastAsia="en-GB"/>
        </w:rPr>
        <w:t xml:space="preserve"> and do not provide a comprehensive guide to </w:t>
      </w:r>
      <w:proofErr w:type="gramStart"/>
      <w:r w:rsidR="001C0DA8">
        <w:rPr>
          <w:rFonts w:ascii="Arial" w:eastAsia="Times New Roman" w:hAnsi="Arial" w:cs="Arial"/>
          <w:color w:val="000000"/>
          <w:sz w:val="22"/>
          <w:szCs w:val="22"/>
          <w:lang w:eastAsia="en-GB"/>
        </w:rPr>
        <w:t>all of</w:t>
      </w:r>
      <w:proofErr w:type="gramEnd"/>
      <w:r w:rsidR="001C0DA8">
        <w:rPr>
          <w:rFonts w:ascii="Arial" w:eastAsia="Times New Roman" w:hAnsi="Arial" w:cs="Arial"/>
          <w:color w:val="000000"/>
          <w:sz w:val="22"/>
          <w:szCs w:val="22"/>
          <w:lang w:eastAsia="en-GB"/>
        </w:rPr>
        <w:t xml:space="preserve"> your GDPR obligations</w:t>
      </w:r>
      <w:r w:rsidR="009A354A">
        <w:rPr>
          <w:rFonts w:ascii="Arial" w:eastAsia="Times New Roman" w:hAnsi="Arial" w:cs="Arial"/>
          <w:color w:val="000000"/>
          <w:sz w:val="22"/>
          <w:szCs w:val="22"/>
          <w:lang w:eastAsia="en-GB"/>
        </w:rPr>
        <w:t>; they</w:t>
      </w:r>
      <w:r>
        <w:rPr>
          <w:rFonts w:ascii="Arial" w:eastAsia="Times New Roman" w:hAnsi="Arial" w:cs="Arial"/>
          <w:color w:val="000000"/>
          <w:sz w:val="22"/>
          <w:szCs w:val="22"/>
          <w:lang w:eastAsia="en-GB"/>
        </w:rPr>
        <w:t xml:space="preserve"> do not constitute legal advice and should not be relied upon as such. </w:t>
      </w:r>
    </w:p>
    <w:p w14:paraId="424B94F8" w14:textId="689EC8FB" w:rsidR="001D082F" w:rsidRDefault="001D082F" w:rsidP="007E3A16">
      <w:pPr>
        <w:jc w:val="both"/>
        <w:rPr>
          <w:rFonts w:ascii="Arial" w:eastAsia="Times New Roman" w:hAnsi="Arial" w:cs="Arial"/>
          <w:color w:val="000000"/>
          <w:sz w:val="22"/>
          <w:szCs w:val="22"/>
          <w:lang w:eastAsia="en-GB"/>
        </w:rPr>
      </w:pPr>
    </w:p>
    <w:p w14:paraId="2E912BB0" w14:textId="1245C500" w:rsidR="001D082F" w:rsidRDefault="001D082F" w:rsidP="007E3A16">
      <w:pPr>
        <w:jc w:val="both"/>
        <w:rPr>
          <w:rFonts w:ascii="Arial" w:eastAsia="Times New Roman" w:hAnsi="Arial" w:cs="Arial"/>
          <w:color w:val="000000"/>
          <w:sz w:val="22"/>
          <w:szCs w:val="22"/>
          <w:lang w:eastAsia="en-GB"/>
        </w:rPr>
      </w:pPr>
    </w:p>
    <w:p w14:paraId="19A33E1C" w14:textId="269278FD" w:rsidR="001D082F" w:rsidRDefault="001D082F" w:rsidP="007E3A16">
      <w:pPr>
        <w:jc w:val="both"/>
        <w:rPr>
          <w:rFonts w:ascii="Arial" w:eastAsia="Times New Roman" w:hAnsi="Arial" w:cs="Arial"/>
          <w:color w:val="000000"/>
          <w:sz w:val="22"/>
          <w:szCs w:val="22"/>
          <w:lang w:eastAsia="en-GB"/>
        </w:rPr>
      </w:pPr>
    </w:p>
    <w:p w14:paraId="5C3839F5" w14:textId="5673FD44" w:rsidR="001D082F" w:rsidRPr="006440B8" w:rsidRDefault="001D082F" w:rsidP="001D082F">
      <w:pPr>
        <w:jc w:val="both"/>
        <w:rPr>
          <w:rFonts w:ascii="Arial" w:eastAsia="Times New Roman" w:hAnsi="Arial" w:cs="Arial"/>
          <w:color w:val="000000"/>
          <w:sz w:val="22"/>
          <w:szCs w:val="22"/>
          <w:lang w:eastAsia="en-GB"/>
        </w:rPr>
      </w:pPr>
    </w:p>
    <w:sectPr w:rsidR="001D082F" w:rsidRPr="006440B8" w:rsidSect="0099790C">
      <w:footerReference w:type="default" r:id="rId15"/>
      <w:footerReference w:type="first" r:id="rId16"/>
      <w:pgSz w:w="11906" w:h="16838"/>
      <w:pgMar w:top="1440" w:right="1800" w:bottom="1440" w:left="1800" w:header="70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0DB23" w14:textId="77777777" w:rsidR="003751EF" w:rsidRDefault="003751EF" w:rsidP="008074D5">
      <w:r>
        <w:separator/>
      </w:r>
    </w:p>
  </w:endnote>
  <w:endnote w:type="continuationSeparator" w:id="0">
    <w:p w14:paraId="7D4CAE79" w14:textId="77777777" w:rsidR="003751EF" w:rsidRDefault="003751EF" w:rsidP="00807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FS Albert ExtraBold">
    <w:altName w:val="Segoe UI"/>
    <w:panose1 w:val="00000000000000000000"/>
    <w:charset w:val="00"/>
    <w:family w:val="auto"/>
    <w:notTrueType/>
    <w:pitch w:val="variable"/>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4A16" w14:textId="575EBF3C" w:rsidR="0099790C" w:rsidRPr="0099790C" w:rsidRDefault="0099790C" w:rsidP="0099790C">
    <w:pPr>
      <w:pStyle w:val="NoSpacing"/>
      <w:spacing w:before="240"/>
      <w:rPr>
        <w:rFonts w:ascii="Arial" w:hAnsi="Arial" w:cs="Arial"/>
        <w:sz w:val="20"/>
        <w:szCs w:val="20"/>
      </w:rPr>
    </w:pPr>
    <w:r w:rsidRPr="0099790C">
      <w:rPr>
        <w:sz w:val="20"/>
        <w:szCs w:val="20"/>
      </w:rPr>
      <w:t xml:space="preserve">Version </w:t>
    </w:r>
    <w:r w:rsidR="00E8285C">
      <w:rPr>
        <w:sz w:val="20"/>
        <w:szCs w:val="20"/>
      </w:rPr>
      <w:t>5.</w:t>
    </w:r>
    <w:r w:rsidR="00757151">
      <w:rPr>
        <w:sz w:val="20"/>
        <w:szCs w:val="20"/>
      </w:rPr>
      <w:t>5</w:t>
    </w:r>
  </w:p>
  <w:p w14:paraId="13B18BC4" w14:textId="77777777" w:rsidR="003751EF" w:rsidRPr="0099790C" w:rsidRDefault="003751EF">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2624A" w14:textId="49DC31C9" w:rsidR="003751EF" w:rsidRPr="0099790C" w:rsidRDefault="003751EF">
    <w:pPr>
      <w:pStyle w:val="Footer"/>
      <w:rPr>
        <w:rFonts w:ascii="Arial" w:hAnsi="Arial" w:cs="Arial"/>
        <w:sz w:val="20"/>
        <w:szCs w:val="20"/>
      </w:rPr>
    </w:pPr>
    <w:r w:rsidRPr="0099790C">
      <w:rPr>
        <w:sz w:val="20"/>
        <w:szCs w:val="20"/>
      </w:rPr>
      <w:t xml:space="preserve">Copyright © </w:t>
    </w:r>
    <w:r w:rsidR="008314AF" w:rsidRPr="0099790C">
      <w:rPr>
        <w:sz w:val="20"/>
        <w:szCs w:val="20"/>
      </w:rPr>
      <w:t>20</w:t>
    </w:r>
    <w:r w:rsidR="008314AF">
      <w:rPr>
        <w:sz w:val="20"/>
        <w:szCs w:val="20"/>
      </w:rPr>
      <w:t>23</w:t>
    </w:r>
    <w:r w:rsidR="008314AF" w:rsidRPr="0099790C">
      <w:rPr>
        <w:sz w:val="20"/>
        <w:szCs w:val="20"/>
      </w:rPr>
      <w:t xml:space="preserve"> </w:t>
    </w:r>
    <w:r w:rsidRPr="0099790C">
      <w:rPr>
        <w:sz w:val="20"/>
        <w:szCs w:val="20"/>
      </w:rPr>
      <w:t>Make UK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4DD3F" w14:textId="77777777" w:rsidR="003751EF" w:rsidRDefault="003751EF" w:rsidP="008074D5">
      <w:r>
        <w:separator/>
      </w:r>
    </w:p>
  </w:footnote>
  <w:footnote w:type="continuationSeparator" w:id="0">
    <w:p w14:paraId="2E02C0C5" w14:textId="77777777" w:rsidR="003751EF" w:rsidRDefault="003751EF" w:rsidP="008074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02368"/>
    <w:multiLevelType w:val="multilevel"/>
    <w:tmpl w:val="28CA2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334521"/>
    <w:multiLevelType w:val="hybridMultilevel"/>
    <w:tmpl w:val="6874A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CA039C"/>
    <w:multiLevelType w:val="multilevel"/>
    <w:tmpl w:val="56E036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590888"/>
    <w:multiLevelType w:val="hybridMultilevel"/>
    <w:tmpl w:val="F9C0F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7856D6"/>
    <w:multiLevelType w:val="hybridMultilevel"/>
    <w:tmpl w:val="17382558"/>
    <w:lvl w:ilvl="0" w:tplc="0CAC684A">
      <w:start w:val="1"/>
      <w:numFmt w:val="bullet"/>
      <w:lvlText w:val="•"/>
      <w:lvlJc w:val="left"/>
      <w:pPr>
        <w:tabs>
          <w:tab w:val="num" w:pos="720"/>
        </w:tabs>
        <w:ind w:left="720" w:hanging="360"/>
      </w:pPr>
      <w:rPr>
        <w:rFonts w:ascii="Arial" w:hAnsi="Arial" w:hint="default"/>
      </w:rPr>
    </w:lvl>
    <w:lvl w:ilvl="1" w:tplc="717AD0F6">
      <w:start w:val="242"/>
      <w:numFmt w:val="bullet"/>
      <w:lvlText w:val="•"/>
      <w:lvlJc w:val="left"/>
      <w:pPr>
        <w:tabs>
          <w:tab w:val="num" w:pos="1440"/>
        </w:tabs>
        <w:ind w:left="1440" w:hanging="360"/>
      </w:pPr>
      <w:rPr>
        <w:rFonts w:ascii="Arial" w:hAnsi="Arial" w:hint="default"/>
      </w:rPr>
    </w:lvl>
    <w:lvl w:ilvl="2" w:tplc="28F24720" w:tentative="1">
      <w:start w:val="1"/>
      <w:numFmt w:val="bullet"/>
      <w:lvlText w:val="•"/>
      <w:lvlJc w:val="left"/>
      <w:pPr>
        <w:tabs>
          <w:tab w:val="num" w:pos="2160"/>
        </w:tabs>
        <w:ind w:left="2160" w:hanging="360"/>
      </w:pPr>
      <w:rPr>
        <w:rFonts w:ascii="Arial" w:hAnsi="Arial" w:hint="default"/>
      </w:rPr>
    </w:lvl>
    <w:lvl w:ilvl="3" w:tplc="13EE12DC" w:tentative="1">
      <w:start w:val="1"/>
      <w:numFmt w:val="bullet"/>
      <w:lvlText w:val="•"/>
      <w:lvlJc w:val="left"/>
      <w:pPr>
        <w:tabs>
          <w:tab w:val="num" w:pos="2880"/>
        </w:tabs>
        <w:ind w:left="2880" w:hanging="360"/>
      </w:pPr>
      <w:rPr>
        <w:rFonts w:ascii="Arial" w:hAnsi="Arial" w:hint="default"/>
      </w:rPr>
    </w:lvl>
    <w:lvl w:ilvl="4" w:tplc="DA5CAA28" w:tentative="1">
      <w:start w:val="1"/>
      <w:numFmt w:val="bullet"/>
      <w:lvlText w:val="•"/>
      <w:lvlJc w:val="left"/>
      <w:pPr>
        <w:tabs>
          <w:tab w:val="num" w:pos="3600"/>
        </w:tabs>
        <w:ind w:left="3600" w:hanging="360"/>
      </w:pPr>
      <w:rPr>
        <w:rFonts w:ascii="Arial" w:hAnsi="Arial" w:hint="default"/>
      </w:rPr>
    </w:lvl>
    <w:lvl w:ilvl="5" w:tplc="4ED4AA28" w:tentative="1">
      <w:start w:val="1"/>
      <w:numFmt w:val="bullet"/>
      <w:lvlText w:val="•"/>
      <w:lvlJc w:val="left"/>
      <w:pPr>
        <w:tabs>
          <w:tab w:val="num" w:pos="4320"/>
        </w:tabs>
        <w:ind w:left="4320" w:hanging="360"/>
      </w:pPr>
      <w:rPr>
        <w:rFonts w:ascii="Arial" w:hAnsi="Arial" w:hint="default"/>
      </w:rPr>
    </w:lvl>
    <w:lvl w:ilvl="6" w:tplc="5E185416" w:tentative="1">
      <w:start w:val="1"/>
      <w:numFmt w:val="bullet"/>
      <w:lvlText w:val="•"/>
      <w:lvlJc w:val="left"/>
      <w:pPr>
        <w:tabs>
          <w:tab w:val="num" w:pos="5040"/>
        </w:tabs>
        <w:ind w:left="5040" w:hanging="360"/>
      </w:pPr>
      <w:rPr>
        <w:rFonts w:ascii="Arial" w:hAnsi="Arial" w:hint="default"/>
      </w:rPr>
    </w:lvl>
    <w:lvl w:ilvl="7" w:tplc="2200E26C" w:tentative="1">
      <w:start w:val="1"/>
      <w:numFmt w:val="bullet"/>
      <w:lvlText w:val="•"/>
      <w:lvlJc w:val="left"/>
      <w:pPr>
        <w:tabs>
          <w:tab w:val="num" w:pos="5760"/>
        </w:tabs>
        <w:ind w:left="5760" w:hanging="360"/>
      </w:pPr>
      <w:rPr>
        <w:rFonts w:ascii="Arial" w:hAnsi="Arial" w:hint="default"/>
      </w:rPr>
    </w:lvl>
    <w:lvl w:ilvl="8" w:tplc="F2D6BDF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9B178E8"/>
    <w:multiLevelType w:val="hybridMultilevel"/>
    <w:tmpl w:val="29A289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CB817FB"/>
    <w:multiLevelType w:val="hybridMultilevel"/>
    <w:tmpl w:val="984C3AF0"/>
    <w:lvl w:ilvl="0" w:tplc="8CD42F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2382F32"/>
    <w:multiLevelType w:val="hybridMultilevel"/>
    <w:tmpl w:val="41A4A132"/>
    <w:lvl w:ilvl="0" w:tplc="055867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68B014A"/>
    <w:multiLevelType w:val="hybridMultilevel"/>
    <w:tmpl w:val="672C9A66"/>
    <w:lvl w:ilvl="0" w:tplc="0809000F">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402081D"/>
    <w:multiLevelType w:val="hybridMultilevel"/>
    <w:tmpl w:val="080AA2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936A74"/>
    <w:multiLevelType w:val="hybridMultilevel"/>
    <w:tmpl w:val="9E7A32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A9B006C"/>
    <w:multiLevelType w:val="hybridMultilevel"/>
    <w:tmpl w:val="B1582A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CC74D7C"/>
    <w:multiLevelType w:val="hybridMultilevel"/>
    <w:tmpl w:val="45BCA0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B43269"/>
    <w:multiLevelType w:val="hybridMultilevel"/>
    <w:tmpl w:val="5A305F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51945702">
    <w:abstractNumId w:val="12"/>
  </w:num>
  <w:num w:numId="2" w16cid:durableId="321199421">
    <w:abstractNumId w:val="10"/>
  </w:num>
  <w:num w:numId="3" w16cid:durableId="721708078">
    <w:abstractNumId w:val="7"/>
  </w:num>
  <w:num w:numId="4" w16cid:durableId="1758864311">
    <w:abstractNumId w:val="6"/>
  </w:num>
  <w:num w:numId="5" w16cid:durableId="485441092">
    <w:abstractNumId w:val="8"/>
  </w:num>
  <w:num w:numId="6" w16cid:durableId="70742590">
    <w:abstractNumId w:val="1"/>
  </w:num>
  <w:num w:numId="7" w16cid:durableId="908416362">
    <w:abstractNumId w:val="3"/>
  </w:num>
  <w:num w:numId="8" w16cid:durableId="1265379383">
    <w:abstractNumId w:val="13"/>
  </w:num>
  <w:num w:numId="9" w16cid:durableId="354890351">
    <w:abstractNumId w:val="0"/>
  </w:num>
  <w:num w:numId="10" w16cid:durableId="1692297973">
    <w:abstractNumId w:val="9"/>
  </w:num>
  <w:num w:numId="11" w16cid:durableId="1543517842">
    <w:abstractNumId w:val="11"/>
  </w:num>
  <w:num w:numId="12" w16cid:durableId="541989631">
    <w:abstractNumId w:val="5"/>
  </w:num>
  <w:num w:numId="13" w16cid:durableId="1728987272">
    <w:abstractNumId w:val="4"/>
  </w:num>
  <w:num w:numId="14" w16cid:durableId="3548912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6737"/>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2B1"/>
    <w:rsid w:val="00002B86"/>
    <w:rsid w:val="00011CBF"/>
    <w:rsid w:val="0001324F"/>
    <w:rsid w:val="000148EE"/>
    <w:rsid w:val="00021FCB"/>
    <w:rsid w:val="00023E1E"/>
    <w:rsid w:val="00024CDE"/>
    <w:rsid w:val="00025680"/>
    <w:rsid w:val="00031EDF"/>
    <w:rsid w:val="00032102"/>
    <w:rsid w:val="000321CE"/>
    <w:rsid w:val="00036AD3"/>
    <w:rsid w:val="00040FE3"/>
    <w:rsid w:val="00042A2F"/>
    <w:rsid w:val="00045AEA"/>
    <w:rsid w:val="0005348B"/>
    <w:rsid w:val="000579A0"/>
    <w:rsid w:val="000579BA"/>
    <w:rsid w:val="00063699"/>
    <w:rsid w:val="000737D7"/>
    <w:rsid w:val="000744C0"/>
    <w:rsid w:val="000859FA"/>
    <w:rsid w:val="00085A35"/>
    <w:rsid w:val="00086BAA"/>
    <w:rsid w:val="00094330"/>
    <w:rsid w:val="000971A6"/>
    <w:rsid w:val="000A09E8"/>
    <w:rsid w:val="000A1423"/>
    <w:rsid w:val="000A1DF7"/>
    <w:rsid w:val="000B752E"/>
    <w:rsid w:val="000B7E69"/>
    <w:rsid w:val="000C22B1"/>
    <w:rsid w:val="000D792E"/>
    <w:rsid w:val="000E2348"/>
    <w:rsid w:val="000E7EE8"/>
    <w:rsid w:val="000F20E1"/>
    <w:rsid w:val="000F3581"/>
    <w:rsid w:val="000F3EFF"/>
    <w:rsid w:val="001018DE"/>
    <w:rsid w:val="00103B6F"/>
    <w:rsid w:val="00106F71"/>
    <w:rsid w:val="00111B98"/>
    <w:rsid w:val="00120B66"/>
    <w:rsid w:val="00123CB8"/>
    <w:rsid w:val="00130A5D"/>
    <w:rsid w:val="00134424"/>
    <w:rsid w:val="00135FF7"/>
    <w:rsid w:val="00141565"/>
    <w:rsid w:val="00142A7C"/>
    <w:rsid w:val="00146471"/>
    <w:rsid w:val="00147012"/>
    <w:rsid w:val="00165DFD"/>
    <w:rsid w:val="00167769"/>
    <w:rsid w:val="00171FA9"/>
    <w:rsid w:val="001765B7"/>
    <w:rsid w:val="0019027E"/>
    <w:rsid w:val="001931DC"/>
    <w:rsid w:val="00193430"/>
    <w:rsid w:val="00194C87"/>
    <w:rsid w:val="00197FE8"/>
    <w:rsid w:val="001A73D1"/>
    <w:rsid w:val="001B066E"/>
    <w:rsid w:val="001B51E6"/>
    <w:rsid w:val="001B61EE"/>
    <w:rsid w:val="001B669D"/>
    <w:rsid w:val="001B7EFC"/>
    <w:rsid w:val="001C0C42"/>
    <w:rsid w:val="001C0DA8"/>
    <w:rsid w:val="001D082F"/>
    <w:rsid w:val="001D581C"/>
    <w:rsid w:val="001E1D15"/>
    <w:rsid w:val="001E1EC1"/>
    <w:rsid w:val="001E3AE6"/>
    <w:rsid w:val="001F62E4"/>
    <w:rsid w:val="001F6C4E"/>
    <w:rsid w:val="00210F1A"/>
    <w:rsid w:val="00214D77"/>
    <w:rsid w:val="00220DD8"/>
    <w:rsid w:val="0022565C"/>
    <w:rsid w:val="002312FA"/>
    <w:rsid w:val="002422BC"/>
    <w:rsid w:val="002430E0"/>
    <w:rsid w:val="00243CEC"/>
    <w:rsid w:val="0024792B"/>
    <w:rsid w:val="002508F0"/>
    <w:rsid w:val="0025139C"/>
    <w:rsid w:val="00267A27"/>
    <w:rsid w:val="00277992"/>
    <w:rsid w:val="0028762E"/>
    <w:rsid w:val="00292F78"/>
    <w:rsid w:val="002A0F98"/>
    <w:rsid w:val="002A3DDC"/>
    <w:rsid w:val="002A669D"/>
    <w:rsid w:val="002C04DC"/>
    <w:rsid w:val="002C291B"/>
    <w:rsid w:val="002C4B81"/>
    <w:rsid w:val="002D146E"/>
    <w:rsid w:val="002D3BC2"/>
    <w:rsid w:val="002D618F"/>
    <w:rsid w:val="002E551B"/>
    <w:rsid w:val="002E6444"/>
    <w:rsid w:val="002F12E4"/>
    <w:rsid w:val="002F5B71"/>
    <w:rsid w:val="002F6E6F"/>
    <w:rsid w:val="003019B2"/>
    <w:rsid w:val="0030719A"/>
    <w:rsid w:val="0031120F"/>
    <w:rsid w:val="0031727C"/>
    <w:rsid w:val="003213AF"/>
    <w:rsid w:val="00322009"/>
    <w:rsid w:val="00325B11"/>
    <w:rsid w:val="00327BFB"/>
    <w:rsid w:val="003351B8"/>
    <w:rsid w:val="00340872"/>
    <w:rsid w:val="0034692A"/>
    <w:rsid w:val="0036024B"/>
    <w:rsid w:val="00362715"/>
    <w:rsid w:val="00362753"/>
    <w:rsid w:val="00365B2E"/>
    <w:rsid w:val="00367733"/>
    <w:rsid w:val="00367A47"/>
    <w:rsid w:val="00370265"/>
    <w:rsid w:val="003723E4"/>
    <w:rsid w:val="003746B4"/>
    <w:rsid w:val="00375038"/>
    <w:rsid w:val="003751EF"/>
    <w:rsid w:val="0039435E"/>
    <w:rsid w:val="00394D34"/>
    <w:rsid w:val="00394F4D"/>
    <w:rsid w:val="003952ED"/>
    <w:rsid w:val="0039554F"/>
    <w:rsid w:val="003A6A97"/>
    <w:rsid w:val="003A6E27"/>
    <w:rsid w:val="003B68CA"/>
    <w:rsid w:val="003C1AAC"/>
    <w:rsid w:val="003E1CA8"/>
    <w:rsid w:val="003E2591"/>
    <w:rsid w:val="003F2220"/>
    <w:rsid w:val="003F5BA9"/>
    <w:rsid w:val="003F7E0E"/>
    <w:rsid w:val="004018F7"/>
    <w:rsid w:val="0041503F"/>
    <w:rsid w:val="00415709"/>
    <w:rsid w:val="0042182B"/>
    <w:rsid w:val="00425F2B"/>
    <w:rsid w:val="004324AA"/>
    <w:rsid w:val="004324C7"/>
    <w:rsid w:val="004456A5"/>
    <w:rsid w:val="00447F99"/>
    <w:rsid w:val="00466DF8"/>
    <w:rsid w:val="00471CC0"/>
    <w:rsid w:val="00472BA0"/>
    <w:rsid w:val="0047423E"/>
    <w:rsid w:val="00481E26"/>
    <w:rsid w:val="004867C8"/>
    <w:rsid w:val="0049345C"/>
    <w:rsid w:val="004B514C"/>
    <w:rsid w:val="004C043E"/>
    <w:rsid w:val="004C49F0"/>
    <w:rsid w:val="004D4333"/>
    <w:rsid w:val="004E69AF"/>
    <w:rsid w:val="0050768C"/>
    <w:rsid w:val="00514DA2"/>
    <w:rsid w:val="00526983"/>
    <w:rsid w:val="00530184"/>
    <w:rsid w:val="00530C31"/>
    <w:rsid w:val="00531A1C"/>
    <w:rsid w:val="00536B3A"/>
    <w:rsid w:val="00544DB7"/>
    <w:rsid w:val="00550F2E"/>
    <w:rsid w:val="005541B9"/>
    <w:rsid w:val="005626BE"/>
    <w:rsid w:val="00564D8A"/>
    <w:rsid w:val="00565749"/>
    <w:rsid w:val="00572A32"/>
    <w:rsid w:val="00574A4D"/>
    <w:rsid w:val="005810AA"/>
    <w:rsid w:val="00590722"/>
    <w:rsid w:val="005908AE"/>
    <w:rsid w:val="005979F1"/>
    <w:rsid w:val="00597E78"/>
    <w:rsid w:val="005A34C9"/>
    <w:rsid w:val="005A5AE1"/>
    <w:rsid w:val="005A7205"/>
    <w:rsid w:val="005B0C3E"/>
    <w:rsid w:val="005B293E"/>
    <w:rsid w:val="005B33B7"/>
    <w:rsid w:val="005C2AD5"/>
    <w:rsid w:val="005C30C3"/>
    <w:rsid w:val="005F010D"/>
    <w:rsid w:val="005F1A80"/>
    <w:rsid w:val="00601A30"/>
    <w:rsid w:val="00604567"/>
    <w:rsid w:val="0061524F"/>
    <w:rsid w:val="00616953"/>
    <w:rsid w:val="00616CA6"/>
    <w:rsid w:val="00625868"/>
    <w:rsid w:val="0062732A"/>
    <w:rsid w:val="0063029F"/>
    <w:rsid w:val="00631073"/>
    <w:rsid w:val="00634894"/>
    <w:rsid w:val="006415D0"/>
    <w:rsid w:val="006437C8"/>
    <w:rsid w:val="006440B8"/>
    <w:rsid w:val="006447A8"/>
    <w:rsid w:val="00646F6E"/>
    <w:rsid w:val="0064772B"/>
    <w:rsid w:val="00652A98"/>
    <w:rsid w:val="00655492"/>
    <w:rsid w:val="00660699"/>
    <w:rsid w:val="006615C8"/>
    <w:rsid w:val="006653EE"/>
    <w:rsid w:val="00680DF7"/>
    <w:rsid w:val="00681E06"/>
    <w:rsid w:val="006863DE"/>
    <w:rsid w:val="00693FFD"/>
    <w:rsid w:val="006940E2"/>
    <w:rsid w:val="006A0FA5"/>
    <w:rsid w:val="006A19C7"/>
    <w:rsid w:val="006A5367"/>
    <w:rsid w:val="006A58AD"/>
    <w:rsid w:val="006A7E76"/>
    <w:rsid w:val="006D21C6"/>
    <w:rsid w:val="006D250A"/>
    <w:rsid w:val="006E19E7"/>
    <w:rsid w:val="006F3D40"/>
    <w:rsid w:val="006F5FA8"/>
    <w:rsid w:val="00705E46"/>
    <w:rsid w:val="00714EE4"/>
    <w:rsid w:val="00723BBF"/>
    <w:rsid w:val="00725217"/>
    <w:rsid w:val="00736895"/>
    <w:rsid w:val="00736FC0"/>
    <w:rsid w:val="0074054F"/>
    <w:rsid w:val="007447DE"/>
    <w:rsid w:val="0075131D"/>
    <w:rsid w:val="00757151"/>
    <w:rsid w:val="00760F01"/>
    <w:rsid w:val="00761B13"/>
    <w:rsid w:val="0076442F"/>
    <w:rsid w:val="00772298"/>
    <w:rsid w:val="0078693A"/>
    <w:rsid w:val="00795679"/>
    <w:rsid w:val="00797E2D"/>
    <w:rsid w:val="007A526E"/>
    <w:rsid w:val="007A760E"/>
    <w:rsid w:val="007B19BC"/>
    <w:rsid w:val="007B707C"/>
    <w:rsid w:val="007D12EA"/>
    <w:rsid w:val="007D2575"/>
    <w:rsid w:val="007D6A06"/>
    <w:rsid w:val="007E3A16"/>
    <w:rsid w:val="007E3A99"/>
    <w:rsid w:val="007E512A"/>
    <w:rsid w:val="007F5A9E"/>
    <w:rsid w:val="008074D5"/>
    <w:rsid w:val="00814385"/>
    <w:rsid w:val="0082473F"/>
    <w:rsid w:val="00825963"/>
    <w:rsid w:val="008314AF"/>
    <w:rsid w:val="008340E6"/>
    <w:rsid w:val="0084758E"/>
    <w:rsid w:val="00850E81"/>
    <w:rsid w:val="00862ECE"/>
    <w:rsid w:val="0086422A"/>
    <w:rsid w:val="00866032"/>
    <w:rsid w:val="00877053"/>
    <w:rsid w:val="00880B54"/>
    <w:rsid w:val="00880EA6"/>
    <w:rsid w:val="00897993"/>
    <w:rsid w:val="008A1E06"/>
    <w:rsid w:val="008A4DB5"/>
    <w:rsid w:val="008B450D"/>
    <w:rsid w:val="008B7B01"/>
    <w:rsid w:val="008C0D54"/>
    <w:rsid w:val="008C1CB1"/>
    <w:rsid w:val="008C6C28"/>
    <w:rsid w:val="008D4F98"/>
    <w:rsid w:val="008D632D"/>
    <w:rsid w:val="008D74D6"/>
    <w:rsid w:val="008F6E3C"/>
    <w:rsid w:val="008F7910"/>
    <w:rsid w:val="009127C7"/>
    <w:rsid w:val="009129A6"/>
    <w:rsid w:val="00914B49"/>
    <w:rsid w:val="0091605D"/>
    <w:rsid w:val="00920F22"/>
    <w:rsid w:val="0092299E"/>
    <w:rsid w:val="00924FA6"/>
    <w:rsid w:val="0093447C"/>
    <w:rsid w:val="00934B96"/>
    <w:rsid w:val="00934BEC"/>
    <w:rsid w:val="00934E45"/>
    <w:rsid w:val="0093652E"/>
    <w:rsid w:val="00937ADB"/>
    <w:rsid w:val="00942E1E"/>
    <w:rsid w:val="00943E1D"/>
    <w:rsid w:val="0094425A"/>
    <w:rsid w:val="00944555"/>
    <w:rsid w:val="00950E11"/>
    <w:rsid w:val="009560AA"/>
    <w:rsid w:val="00956952"/>
    <w:rsid w:val="0096323B"/>
    <w:rsid w:val="009734D8"/>
    <w:rsid w:val="00973887"/>
    <w:rsid w:val="009738FF"/>
    <w:rsid w:val="0097441A"/>
    <w:rsid w:val="00980D1E"/>
    <w:rsid w:val="00985F0E"/>
    <w:rsid w:val="0098700C"/>
    <w:rsid w:val="0099676D"/>
    <w:rsid w:val="0099790C"/>
    <w:rsid w:val="009A354A"/>
    <w:rsid w:val="009A6824"/>
    <w:rsid w:val="009A7ED2"/>
    <w:rsid w:val="009D0306"/>
    <w:rsid w:val="009D5C89"/>
    <w:rsid w:val="009E4FEB"/>
    <w:rsid w:val="009F08C3"/>
    <w:rsid w:val="00A03A68"/>
    <w:rsid w:val="00A07CD6"/>
    <w:rsid w:val="00A12DFB"/>
    <w:rsid w:val="00A157C2"/>
    <w:rsid w:val="00A1594A"/>
    <w:rsid w:val="00A17709"/>
    <w:rsid w:val="00A33A57"/>
    <w:rsid w:val="00A40D55"/>
    <w:rsid w:val="00A42EF6"/>
    <w:rsid w:val="00A54F22"/>
    <w:rsid w:val="00A63289"/>
    <w:rsid w:val="00A735CE"/>
    <w:rsid w:val="00A7422D"/>
    <w:rsid w:val="00A81ACF"/>
    <w:rsid w:val="00A860E9"/>
    <w:rsid w:val="00A92753"/>
    <w:rsid w:val="00A92762"/>
    <w:rsid w:val="00AA0FE3"/>
    <w:rsid w:val="00AB3212"/>
    <w:rsid w:val="00AC41D4"/>
    <w:rsid w:val="00AD0B03"/>
    <w:rsid w:val="00AD53C8"/>
    <w:rsid w:val="00AD548B"/>
    <w:rsid w:val="00AD67E3"/>
    <w:rsid w:val="00AD722B"/>
    <w:rsid w:val="00AD7304"/>
    <w:rsid w:val="00AE0C77"/>
    <w:rsid w:val="00AF41D7"/>
    <w:rsid w:val="00AF557C"/>
    <w:rsid w:val="00B0197A"/>
    <w:rsid w:val="00B06CF0"/>
    <w:rsid w:val="00B07AED"/>
    <w:rsid w:val="00B17BCE"/>
    <w:rsid w:val="00B2206C"/>
    <w:rsid w:val="00B306B1"/>
    <w:rsid w:val="00B40643"/>
    <w:rsid w:val="00B43775"/>
    <w:rsid w:val="00B47E8E"/>
    <w:rsid w:val="00B52D83"/>
    <w:rsid w:val="00B72A55"/>
    <w:rsid w:val="00B735C9"/>
    <w:rsid w:val="00B75D76"/>
    <w:rsid w:val="00B826EA"/>
    <w:rsid w:val="00B84D3A"/>
    <w:rsid w:val="00B8509E"/>
    <w:rsid w:val="00B86B89"/>
    <w:rsid w:val="00B86D7D"/>
    <w:rsid w:val="00B94524"/>
    <w:rsid w:val="00B9479B"/>
    <w:rsid w:val="00B960B8"/>
    <w:rsid w:val="00B97192"/>
    <w:rsid w:val="00BA185E"/>
    <w:rsid w:val="00BA4F23"/>
    <w:rsid w:val="00BC47A3"/>
    <w:rsid w:val="00BC4828"/>
    <w:rsid w:val="00BC55F3"/>
    <w:rsid w:val="00BD27B1"/>
    <w:rsid w:val="00BE240E"/>
    <w:rsid w:val="00BE2C33"/>
    <w:rsid w:val="00BF427C"/>
    <w:rsid w:val="00C00ED3"/>
    <w:rsid w:val="00C33457"/>
    <w:rsid w:val="00C4370F"/>
    <w:rsid w:val="00C535CB"/>
    <w:rsid w:val="00C62161"/>
    <w:rsid w:val="00C62FC1"/>
    <w:rsid w:val="00C63580"/>
    <w:rsid w:val="00C65619"/>
    <w:rsid w:val="00C67F13"/>
    <w:rsid w:val="00C740BA"/>
    <w:rsid w:val="00C74210"/>
    <w:rsid w:val="00C807DB"/>
    <w:rsid w:val="00C86E62"/>
    <w:rsid w:val="00C948F4"/>
    <w:rsid w:val="00CA33B4"/>
    <w:rsid w:val="00CA3604"/>
    <w:rsid w:val="00CA6888"/>
    <w:rsid w:val="00CA7A8F"/>
    <w:rsid w:val="00CB3567"/>
    <w:rsid w:val="00CB6500"/>
    <w:rsid w:val="00CC6A34"/>
    <w:rsid w:val="00CD09D1"/>
    <w:rsid w:val="00CD0D1B"/>
    <w:rsid w:val="00CD2C04"/>
    <w:rsid w:val="00CD4B23"/>
    <w:rsid w:val="00CF1157"/>
    <w:rsid w:val="00CF1E64"/>
    <w:rsid w:val="00CF2A16"/>
    <w:rsid w:val="00CF4C12"/>
    <w:rsid w:val="00CF785D"/>
    <w:rsid w:val="00D01F6A"/>
    <w:rsid w:val="00D117CE"/>
    <w:rsid w:val="00D151A4"/>
    <w:rsid w:val="00D17FAC"/>
    <w:rsid w:val="00D21F2B"/>
    <w:rsid w:val="00D263B5"/>
    <w:rsid w:val="00D3014A"/>
    <w:rsid w:val="00D464DF"/>
    <w:rsid w:val="00D56F89"/>
    <w:rsid w:val="00D75CDD"/>
    <w:rsid w:val="00D77B67"/>
    <w:rsid w:val="00D81E55"/>
    <w:rsid w:val="00D86670"/>
    <w:rsid w:val="00D87EF6"/>
    <w:rsid w:val="00D92637"/>
    <w:rsid w:val="00DA0898"/>
    <w:rsid w:val="00DA2014"/>
    <w:rsid w:val="00DA3EDD"/>
    <w:rsid w:val="00DB33C9"/>
    <w:rsid w:val="00DB3ED1"/>
    <w:rsid w:val="00DB5D0D"/>
    <w:rsid w:val="00DC3239"/>
    <w:rsid w:val="00DC4D83"/>
    <w:rsid w:val="00DC6B0B"/>
    <w:rsid w:val="00DD0DBE"/>
    <w:rsid w:val="00DD5A95"/>
    <w:rsid w:val="00DD63A7"/>
    <w:rsid w:val="00DD7C60"/>
    <w:rsid w:val="00DE2FAE"/>
    <w:rsid w:val="00DE3293"/>
    <w:rsid w:val="00DE4920"/>
    <w:rsid w:val="00DE49DB"/>
    <w:rsid w:val="00DE5CF9"/>
    <w:rsid w:val="00DF00B6"/>
    <w:rsid w:val="00DF1125"/>
    <w:rsid w:val="00DF3C6C"/>
    <w:rsid w:val="00DF3E16"/>
    <w:rsid w:val="00DF6BB7"/>
    <w:rsid w:val="00E13D5F"/>
    <w:rsid w:val="00E159B5"/>
    <w:rsid w:val="00E21020"/>
    <w:rsid w:val="00E27C5E"/>
    <w:rsid w:val="00E31E26"/>
    <w:rsid w:val="00E34F49"/>
    <w:rsid w:val="00E36F67"/>
    <w:rsid w:val="00E417F8"/>
    <w:rsid w:val="00E55280"/>
    <w:rsid w:val="00E578C5"/>
    <w:rsid w:val="00E6178F"/>
    <w:rsid w:val="00E65E3C"/>
    <w:rsid w:val="00E8285C"/>
    <w:rsid w:val="00E84BE6"/>
    <w:rsid w:val="00E9152A"/>
    <w:rsid w:val="00E91625"/>
    <w:rsid w:val="00EA584A"/>
    <w:rsid w:val="00EC25D6"/>
    <w:rsid w:val="00EC3B48"/>
    <w:rsid w:val="00ED093B"/>
    <w:rsid w:val="00ED1483"/>
    <w:rsid w:val="00ED1592"/>
    <w:rsid w:val="00ED2C27"/>
    <w:rsid w:val="00EE492E"/>
    <w:rsid w:val="00EE4AEF"/>
    <w:rsid w:val="00EE69DF"/>
    <w:rsid w:val="00EF29CB"/>
    <w:rsid w:val="00EF5061"/>
    <w:rsid w:val="00F11EC7"/>
    <w:rsid w:val="00F242CC"/>
    <w:rsid w:val="00F2686D"/>
    <w:rsid w:val="00F3263E"/>
    <w:rsid w:val="00F41378"/>
    <w:rsid w:val="00F43BF5"/>
    <w:rsid w:val="00F441BC"/>
    <w:rsid w:val="00F47AF3"/>
    <w:rsid w:val="00F51B77"/>
    <w:rsid w:val="00F605AC"/>
    <w:rsid w:val="00F75E69"/>
    <w:rsid w:val="00F82AF5"/>
    <w:rsid w:val="00F8448C"/>
    <w:rsid w:val="00F87090"/>
    <w:rsid w:val="00F90F23"/>
    <w:rsid w:val="00F915DE"/>
    <w:rsid w:val="00F94483"/>
    <w:rsid w:val="00FA4A13"/>
    <w:rsid w:val="00FC0153"/>
    <w:rsid w:val="00FC2835"/>
    <w:rsid w:val="00FC461F"/>
    <w:rsid w:val="00FC506B"/>
    <w:rsid w:val="00FD24E2"/>
    <w:rsid w:val="00FD6088"/>
    <w:rsid w:val="00FD7A44"/>
    <w:rsid w:val="00FE45E3"/>
    <w:rsid w:val="00FF0584"/>
    <w:rsid w:val="00FF4EAD"/>
    <w:rsid w:val="00FF5A56"/>
    <w:rsid w:val="00FF64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4:docId w14:val="2ED8328E"/>
  <w15:chartTrackingRefBased/>
  <w15:docId w15:val="{594EEBD3-EAD2-4E70-84D8-DF8286928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46F6E"/>
    <w:rPr>
      <w:strike w:val="0"/>
      <w:dstrike w:val="0"/>
      <w:color w:val="3088FF"/>
      <w:u w:val="none"/>
      <w:effect w:val="none"/>
    </w:rPr>
  </w:style>
  <w:style w:type="character" w:styleId="Strong">
    <w:name w:val="Strong"/>
    <w:qFormat/>
    <w:rsid w:val="00646F6E"/>
    <w:rPr>
      <w:b/>
      <w:bCs/>
    </w:rPr>
  </w:style>
  <w:style w:type="paragraph" w:customStyle="1" w:styleId="Heading21">
    <w:name w:val="Heading 21"/>
    <w:basedOn w:val="Normal"/>
    <w:rsid w:val="00646F6E"/>
    <w:pPr>
      <w:spacing w:after="120" w:line="360" w:lineRule="atLeast"/>
      <w:outlineLvl w:val="2"/>
    </w:pPr>
    <w:rPr>
      <w:rFonts w:ascii="Helvetica" w:hAnsi="Helvetica" w:cs="Helvetica"/>
      <w:b/>
      <w:bCs/>
      <w:color w:val="222222"/>
      <w:sz w:val="43"/>
      <w:szCs w:val="43"/>
    </w:rPr>
  </w:style>
  <w:style w:type="paragraph" w:customStyle="1" w:styleId="Heading31">
    <w:name w:val="Heading 31"/>
    <w:basedOn w:val="Normal"/>
    <w:rsid w:val="00646F6E"/>
    <w:pPr>
      <w:spacing w:after="120" w:line="360" w:lineRule="atLeast"/>
      <w:outlineLvl w:val="3"/>
    </w:pPr>
    <w:rPr>
      <w:rFonts w:ascii="Helvetica" w:hAnsi="Helvetica" w:cs="Helvetica"/>
      <w:b/>
      <w:bCs/>
      <w:color w:val="222222"/>
      <w:sz w:val="38"/>
      <w:szCs w:val="38"/>
    </w:rPr>
  </w:style>
  <w:style w:type="paragraph" w:customStyle="1" w:styleId="NormalWeb1">
    <w:name w:val="Normal (Web)1"/>
    <w:basedOn w:val="Normal"/>
    <w:rsid w:val="00646F6E"/>
    <w:pPr>
      <w:spacing w:after="288" w:line="360" w:lineRule="atLeast"/>
    </w:pPr>
    <w:rPr>
      <w:rFonts w:ascii="Helvetica" w:hAnsi="Helvetica" w:cs="Helvetica"/>
      <w:color w:val="555555"/>
      <w:sz w:val="23"/>
      <w:szCs w:val="23"/>
    </w:rPr>
  </w:style>
  <w:style w:type="character" w:customStyle="1" w:styleId="Hyperlink13">
    <w:name w:val="Hyperlink13"/>
    <w:rsid w:val="00646F6E"/>
    <w:rPr>
      <w:strike w:val="0"/>
      <w:dstrike w:val="0"/>
      <w:color w:val="888888"/>
      <w:sz w:val="22"/>
      <w:szCs w:val="22"/>
      <w:u w:val="none"/>
      <w:effect w:val="none"/>
    </w:rPr>
  </w:style>
  <w:style w:type="character" w:styleId="Emphasis">
    <w:name w:val="Emphasis"/>
    <w:qFormat/>
    <w:rsid w:val="00646F6E"/>
    <w:rPr>
      <w:i/>
      <w:iCs/>
    </w:rPr>
  </w:style>
  <w:style w:type="paragraph" w:styleId="BalloonText">
    <w:name w:val="Balloon Text"/>
    <w:basedOn w:val="Normal"/>
    <w:link w:val="BalloonTextChar"/>
    <w:uiPriority w:val="99"/>
    <w:semiHidden/>
    <w:unhideWhenUsed/>
    <w:rsid w:val="003351B8"/>
    <w:rPr>
      <w:rFonts w:ascii="Segoe UI" w:hAnsi="Segoe UI" w:cs="Segoe UI"/>
      <w:sz w:val="18"/>
      <w:szCs w:val="18"/>
    </w:rPr>
  </w:style>
  <w:style w:type="character" w:customStyle="1" w:styleId="BalloonTextChar">
    <w:name w:val="Balloon Text Char"/>
    <w:link w:val="BalloonText"/>
    <w:uiPriority w:val="99"/>
    <w:semiHidden/>
    <w:rsid w:val="003351B8"/>
    <w:rPr>
      <w:rFonts w:ascii="Segoe UI" w:hAnsi="Segoe UI" w:cs="Segoe UI"/>
      <w:sz w:val="18"/>
      <w:szCs w:val="18"/>
      <w:lang w:eastAsia="zh-CN"/>
    </w:rPr>
  </w:style>
  <w:style w:type="paragraph" w:styleId="ListParagraph">
    <w:name w:val="List Paragraph"/>
    <w:basedOn w:val="Normal"/>
    <w:uiPriority w:val="34"/>
    <w:qFormat/>
    <w:rsid w:val="00123CB8"/>
    <w:pPr>
      <w:ind w:left="720"/>
    </w:pPr>
  </w:style>
  <w:style w:type="paragraph" w:styleId="NormalWeb">
    <w:name w:val="Normal (Web)"/>
    <w:basedOn w:val="Normal"/>
    <w:uiPriority w:val="99"/>
    <w:semiHidden/>
    <w:unhideWhenUsed/>
    <w:rsid w:val="00FD24E2"/>
    <w:pPr>
      <w:spacing w:before="100" w:beforeAutospacing="1" w:after="100" w:afterAutospacing="1"/>
    </w:pPr>
    <w:rPr>
      <w:rFonts w:eastAsia="Times New Roman"/>
      <w:lang w:eastAsia="en-GB"/>
    </w:rPr>
  </w:style>
  <w:style w:type="character" w:styleId="CommentReference">
    <w:name w:val="annotation reference"/>
    <w:uiPriority w:val="99"/>
    <w:semiHidden/>
    <w:unhideWhenUsed/>
    <w:rsid w:val="00CA7A8F"/>
    <w:rPr>
      <w:sz w:val="16"/>
      <w:szCs w:val="16"/>
    </w:rPr>
  </w:style>
  <w:style w:type="paragraph" w:styleId="CommentText">
    <w:name w:val="annotation text"/>
    <w:basedOn w:val="Normal"/>
    <w:link w:val="CommentTextChar"/>
    <w:uiPriority w:val="99"/>
    <w:unhideWhenUsed/>
    <w:rsid w:val="00CA7A8F"/>
    <w:rPr>
      <w:sz w:val="20"/>
      <w:szCs w:val="20"/>
    </w:rPr>
  </w:style>
  <w:style w:type="character" w:customStyle="1" w:styleId="CommentTextChar">
    <w:name w:val="Comment Text Char"/>
    <w:link w:val="CommentText"/>
    <w:uiPriority w:val="99"/>
    <w:rsid w:val="00CA7A8F"/>
    <w:rPr>
      <w:lang w:eastAsia="zh-CN"/>
    </w:rPr>
  </w:style>
  <w:style w:type="paragraph" w:styleId="CommentSubject">
    <w:name w:val="annotation subject"/>
    <w:basedOn w:val="CommentText"/>
    <w:next w:val="CommentText"/>
    <w:link w:val="CommentSubjectChar"/>
    <w:uiPriority w:val="99"/>
    <w:semiHidden/>
    <w:unhideWhenUsed/>
    <w:rsid w:val="00CA7A8F"/>
    <w:rPr>
      <w:b/>
      <w:bCs/>
    </w:rPr>
  </w:style>
  <w:style w:type="character" w:customStyle="1" w:styleId="CommentSubjectChar">
    <w:name w:val="Comment Subject Char"/>
    <w:link w:val="CommentSubject"/>
    <w:uiPriority w:val="99"/>
    <w:semiHidden/>
    <w:rsid w:val="00CA7A8F"/>
    <w:rPr>
      <w:b/>
      <w:bCs/>
      <w:lang w:eastAsia="zh-CN"/>
    </w:rPr>
  </w:style>
  <w:style w:type="paragraph" w:styleId="Header">
    <w:name w:val="header"/>
    <w:basedOn w:val="Normal"/>
    <w:link w:val="HeaderChar"/>
    <w:uiPriority w:val="99"/>
    <w:unhideWhenUsed/>
    <w:rsid w:val="008074D5"/>
    <w:pPr>
      <w:tabs>
        <w:tab w:val="center" w:pos="4513"/>
        <w:tab w:val="right" w:pos="9026"/>
      </w:tabs>
    </w:pPr>
  </w:style>
  <w:style w:type="character" w:customStyle="1" w:styleId="HeaderChar">
    <w:name w:val="Header Char"/>
    <w:basedOn w:val="DefaultParagraphFont"/>
    <w:link w:val="Header"/>
    <w:uiPriority w:val="99"/>
    <w:rsid w:val="008074D5"/>
    <w:rPr>
      <w:sz w:val="24"/>
      <w:szCs w:val="24"/>
      <w:lang w:eastAsia="zh-CN"/>
    </w:rPr>
  </w:style>
  <w:style w:type="paragraph" w:styleId="Footer">
    <w:name w:val="footer"/>
    <w:basedOn w:val="Normal"/>
    <w:link w:val="FooterChar"/>
    <w:uiPriority w:val="99"/>
    <w:unhideWhenUsed/>
    <w:rsid w:val="008074D5"/>
    <w:pPr>
      <w:tabs>
        <w:tab w:val="center" w:pos="4513"/>
        <w:tab w:val="right" w:pos="9026"/>
      </w:tabs>
    </w:pPr>
  </w:style>
  <w:style w:type="character" w:customStyle="1" w:styleId="FooterChar">
    <w:name w:val="Footer Char"/>
    <w:basedOn w:val="DefaultParagraphFont"/>
    <w:link w:val="Footer"/>
    <w:uiPriority w:val="99"/>
    <w:rsid w:val="008074D5"/>
    <w:rPr>
      <w:sz w:val="24"/>
      <w:szCs w:val="24"/>
      <w:lang w:eastAsia="zh-CN"/>
    </w:rPr>
  </w:style>
  <w:style w:type="paragraph" w:styleId="NoSpacing">
    <w:name w:val="No Spacing"/>
    <w:uiPriority w:val="1"/>
    <w:qFormat/>
    <w:rsid w:val="003B68CA"/>
    <w:rPr>
      <w:sz w:val="24"/>
      <w:szCs w:val="24"/>
      <w:lang w:eastAsia="zh-CN"/>
    </w:rPr>
  </w:style>
  <w:style w:type="character" w:styleId="UnresolvedMention">
    <w:name w:val="Unresolved Mention"/>
    <w:basedOn w:val="DefaultParagraphFont"/>
    <w:uiPriority w:val="99"/>
    <w:semiHidden/>
    <w:unhideWhenUsed/>
    <w:rsid w:val="00572A32"/>
    <w:rPr>
      <w:color w:val="605E5C"/>
      <w:shd w:val="clear" w:color="auto" w:fill="E1DFDD"/>
    </w:rPr>
  </w:style>
  <w:style w:type="paragraph" w:styleId="Revision">
    <w:name w:val="Revision"/>
    <w:hidden/>
    <w:uiPriority w:val="99"/>
    <w:semiHidden/>
    <w:rsid w:val="008314AF"/>
    <w:rPr>
      <w:sz w:val="24"/>
      <w:szCs w:val="24"/>
      <w:lang w:eastAsia="zh-CN"/>
    </w:rPr>
  </w:style>
  <w:style w:type="character" w:styleId="FollowedHyperlink">
    <w:name w:val="FollowedHyperlink"/>
    <w:basedOn w:val="DefaultParagraphFont"/>
    <w:uiPriority w:val="99"/>
    <w:semiHidden/>
    <w:unhideWhenUsed/>
    <w:rsid w:val="0049345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041780">
      <w:bodyDiv w:val="1"/>
      <w:marLeft w:val="0"/>
      <w:marRight w:val="0"/>
      <w:marTop w:val="0"/>
      <w:marBottom w:val="0"/>
      <w:divBdr>
        <w:top w:val="none" w:sz="0" w:space="0" w:color="auto"/>
        <w:left w:val="none" w:sz="0" w:space="0" w:color="auto"/>
        <w:bottom w:val="none" w:sz="0" w:space="0" w:color="auto"/>
        <w:right w:val="none" w:sz="0" w:space="0" w:color="auto"/>
      </w:divBdr>
      <w:divsChild>
        <w:div w:id="1806972762">
          <w:marLeft w:val="547"/>
          <w:marRight w:val="0"/>
          <w:marTop w:val="200"/>
          <w:marBottom w:val="0"/>
          <w:divBdr>
            <w:top w:val="none" w:sz="0" w:space="0" w:color="auto"/>
            <w:left w:val="none" w:sz="0" w:space="0" w:color="auto"/>
            <w:bottom w:val="none" w:sz="0" w:space="0" w:color="auto"/>
            <w:right w:val="none" w:sz="0" w:space="0" w:color="auto"/>
          </w:divBdr>
        </w:div>
        <w:div w:id="1294365414">
          <w:marLeft w:val="1267"/>
          <w:marRight w:val="0"/>
          <w:marTop w:val="100"/>
          <w:marBottom w:val="0"/>
          <w:divBdr>
            <w:top w:val="none" w:sz="0" w:space="0" w:color="auto"/>
            <w:left w:val="none" w:sz="0" w:space="0" w:color="auto"/>
            <w:bottom w:val="none" w:sz="0" w:space="0" w:color="auto"/>
            <w:right w:val="none" w:sz="0" w:space="0" w:color="auto"/>
          </w:divBdr>
        </w:div>
        <w:div w:id="1464731272">
          <w:marLeft w:val="1267"/>
          <w:marRight w:val="0"/>
          <w:marTop w:val="100"/>
          <w:marBottom w:val="0"/>
          <w:divBdr>
            <w:top w:val="none" w:sz="0" w:space="0" w:color="auto"/>
            <w:left w:val="none" w:sz="0" w:space="0" w:color="auto"/>
            <w:bottom w:val="none" w:sz="0" w:space="0" w:color="auto"/>
            <w:right w:val="none" w:sz="0" w:space="0" w:color="auto"/>
          </w:divBdr>
        </w:div>
        <w:div w:id="634337352">
          <w:marLeft w:val="1267"/>
          <w:marRight w:val="0"/>
          <w:marTop w:val="100"/>
          <w:marBottom w:val="0"/>
          <w:divBdr>
            <w:top w:val="none" w:sz="0" w:space="0" w:color="auto"/>
            <w:left w:val="none" w:sz="0" w:space="0" w:color="auto"/>
            <w:bottom w:val="none" w:sz="0" w:space="0" w:color="auto"/>
            <w:right w:val="none" w:sz="0" w:space="0" w:color="auto"/>
          </w:divBdr>
        </w:div>
        <w:div w:id="259265215">
          <w:marLeft w:val="1267"/>
          <w:marRight w:val="0"/>
          <w:marTop w:val="100"/>
          <w:marBottom w:val="0"/>
          <w:divBdr>
            <w:top w:val="none" w:sz="0" w:space="0" w:color="auto"/>
            <w:left w:val="none" w:sz="0" w:space="0" w:color="auto"/>
            <w:bottom w:val="none" w:sz="0" w:space="0" w:color="auto"/>
            <w:right w:val="none" w:sz="0" w:space="0" w:color="auto"/>
          </w:divBdr>
        </w:div>
        <w:div w:id="1035158323">
          <w:marLeft w:val="1267"/>
          <w:marRight w:val="0"/>
          <w:marTop w:val="100"/>
          <w:marBottom w:val="0"/>
          <w:divBdr>
            <w:top w:val="none" w:sz="0" w:space="0" w:color="auto"/>
            <w:left w:val="none" w:sz="0" w:space="0" w:color="auto"/>
            <w:bottom w:val="none" w:sz="0" w:space="0" w:color="auto"/>
            <w:right w:val="none" w:sz="0" w:space="0" w:color="auto"/>
          </w:divBdr>
        </w:div>
      </w:divsChild>
    </w:div>
    <w:div w:id="813527356">
      <w:bodyDiv w:val="1"/>
      <w:marLeft w:val="0"/>
      <w:marRight w:val="0"/>
      <w:marTop w:val="0"/>
      <w:marBottom w:val="0"/>
      <w:divBdr>
        <w:top w:val="none" w:sz="0" w:space="0" w:color="auto"/>
        <w:left w:val="none" w:sz="0" w:space="0" w:color="auto"/>
        <w:bottom w:val="none" w:sz="0" w:space="0" w:color="auto"/>
        <w:right w:val="none" w:sz="0" w:space="0" w:color="auto"/>
      </w:divBdr>
      <w:divsChild>
        <w:div w:id="91437261">
          <w:marLeft w:val="720"/>
          <w:marRight w:val="0"/>
          <w:marTop w:val="0"/>
          <w:marBottom w:val="0"/>
          <w:divBdr>
            <w:top w:val="none" w:sz="0" w:space="0" w:color="auto"/>
            <w:left w:val="none" w:sz="0" w:space="0" w:color="auto"/>
            <w:bottom w:val="none" w:sz="0" w:space="0" w:color="auto"/>
            <w:right w:val="none" w:sz="0" w:space="0" w:color="auto"/>
          </w:divBdr>
        </w:div>
        <w:div w:id="317345544">
          <w:marLeft w:val="720"/>
          <w:marRight w:val="0"/>
          <w:marTop w:val="0"/>
          <w:marBottom w:val="0"/>
          <w:divBdr>
            <w:top w:val="none" w:sz="0" w:space="0" w:color="auto"/>
            <w:left w:val="none" w:sz="0" w:space="0" w:color="auto"/>
            <w:bottom w:val="none" w:sz="0" w:space="0" w:color="auto"/>
            <w:right w:val="none" w:sz="0" w:space="0" w:color="auto"/>
          </w:divBdr>
        </w:div>
        <w:div w:id="859049003">
          <w:marLeft w:val="720"/>
          <w:marRight w:val="0"/>
          <w:marTop w:val="0"/>
          <w:marBottom w:val="0"/>
          <w:divBdr>
            <w:top w:val="none" w:sz="0" w:space="0" w:color="auto"/>
            <w:left w:val="none" w:sz="0" w:space="0" w:color="auto"/>
            <w:bottom w:val="none" w:sz="0" w:space="0" w:color="auto"/>
            <w:right w:val="none" w:sz="0" w:space="0" w:color="auto"/>
          </w:divBdr>
        </w:div>
        <w:div w:id="920673961">
          <w:marLeft w:val="720"/>
          <w:marRight w:val="0"/>
          <w:marTop w:val="0"/>
          <w:marBottom w:val="0"/>
          <w:divBdr>
            <w:top w:val="none" w:sz="0" w:space="0" w:color="auto"/>
            <w:left w:val="none" w:sz="0" w:space="0" w:color="auto"/>
            <w:bottom w:val="none" w:sz="0" w:space="0" w:color="auto"/>
            <w:right w:val="none" w:sz="0" w:space="0" w:color="auto"/>
          </w:divBdr>
        </w:div>
        <w:div w:id="1155075458">
          <w:marLeft w:val="720"/>
          <w:marRight w:val="0"/>
          <w:marTop w:val="0"/>
          <w:marBottom w:val="0"/>
          <w:divBdr>
            <w:top w:val="none" w:sz="0" w:space="0" w:color="auto"/>
            <w:left w:val="none" w:sz="0" w:space="0" w:color="auto"/>
            <w:bottom w:val="none" w:sz="0" w:space="0" w:color="auto"/>
            <w:right w:val="none" w:sz="0" w:space="0" w:color="auto"/>
          </w:divBdr>
        </w:div>
        <w:div w:id="1282760015">
          <w:marLeft w:val="720"/>
          <w:marRight w:val="0"/>
          <w:marTop w:val="0"/>
          <w:marBottom w:val="0"/>
          <w:divBdr>
            <w:top w:val="none" w:sz="0" w:space="0" w:color="auto"/>
            <w:left w:val="none" w:sz="0" w:space="0" w:color="auto"/>
            <w:bottom w:val="none" w:sz="0" w:space="0" w:color="auto"/>
            <w:right w:val="none" w:sz="0" w:space="0" w:color="auto"/>
          </w:divBdr>
        </w:div>
        <w:div w:id="1778676003">
          <w:marLeft w:val="720"/>
          <w:marRight w:val="0"/>
          <w:marTop w:val="0"/>
          <w:marBottom w:val="0"/>
          <w:divBdr>
            <w:top w:val="none" w:sz="0" w:space="0" w:color="auto"/>
            <w:left w:val="none" w:sz="0" w:space="0" w:color="auto"/>
            <w:bottom w:val="none" w:sz="0" w:space="0" w:color="auto"/>
            <w:right w:val="none" w:sz="0" w:space="0" w:color="auto"/>
          </w:divBdr>
        </w:div>
        <w:div w:id="1928726722">
          <w:marLeft w:val="720"/>
          <w:marRight w:val="0"/>
          <w:marTop w:val="0"/>
          <w:marBottom w:val="0"/>
          <w:divBdr>
            <w:top w:val="none" w:sz="0" w:space="0" w:color="auto"/>
            <w:left w:val="none" w:sz="0" w:space="0" w:color="auto"/>
            <w:bottom w:val="none" w:sz="0" w:space="0" w:color="auto"/>
            <w:right w:val="none" w:sz="0" w:space="0" w:color="auto"/>
          </w:divBdr>
        </w:div>
        <w:div w:id="2053797297">
          <w:marLeft w:val="720"/>
          <w:marRight w:val="0"/>
          <w:marTop w:val="0"/>
          <w:marBottom w:val="0"/>
          <w:divBdr>
            <w:top w:val="none" w:sz="0" w:space="0" w:color="auto"/>
            <w:left w:val="none" w:sz="0" w:space="0" w:color="auto"/>
            <w:bottom w:val="none" w:sz="0" w:space="0" w:color="auto"/>
            <w:right w:val="none" w:sz="0" w:space="0" w:color="auto"/>
          </w:divBdr>
        </w:div>
      </w:divsChild>
    </w:div>
    <w:div w:id="833450432">
      <w:bodyDiv w:val="1"/>
      <w:marLeft w:val="0"/>
      <w:marRight w:val="0"/>
      <w:marTop w:val="0"/>
      <w:marBottom w:val="0"/>
      <w:divBdr>
        <w:top w:val="none" w:sz="0" w:space="0" w:color="auto"/>
        <w:left w:val="none" w:sz="0" w:space="0" w:color="auto"/>
        <w:bottom w:val="none" w:sz="0" w:space="0" w:color="auto"/>
        <w:right w:val="none" w:sz="0" w:space="0" w:color="auto"/>
      </w:divBdr>
    </w:div>
    <w:div w:id="853374948">
      <w:bodyDiv w:val="1"/>
      <w:marLeft w:val="0"/>
      <w:marRight w:val="0"/>
      <w:marTop w:val="0"/>
      <w:marBottom w:val="0"/>
      <w:divBdr>
        <w:top w:val="none" w:sz="0" w:space="0" w:color="auto"/>
        <w:left w:val="none" w:sz="0" w:space="0" w:color="auto"/>
        <w:bottom w:val="none" w:sz="0" w:space="0" w:color="auto"/>
        <w:right w:val="none" w:sz="0" w:space="0" w:color="auto"/>
      </w:divBdr>
      <w:divsChild>
        <w:div w:id="243422805">
          <w:marLeft w:val="720"/>
          <w:marRight w:val="0"/>
          <w:marTop w:val="0"/>
          <w:marBottom w:val="0"/>
          <w:divBdr>
            <w:top w:val="none" w:sz="0" w:space="0" w:color="auto"/>
            <w:left w:val="none" w:sz="0" w:space="0" w:color="auto"/>
            <w:bottom w:val="none" w:sz="0" w:space="0" w:color="auto"/>
            <w:right w:val="none" w:sz="0" w:space="0" w:color="auto"/>
          </w:divBdr>
        </w:div>
        <w:div w:id="427191894">
          <w:marLeft w:val="720"/>
          <w:marRight w:val="0"/>
          <w:marTop w:val="0"/>
          <w:marBottom w:val="0"/>
          <w:divBdr>
            <w:top w:val="none" w:sz="0" w:space="0" w:color="auto"/>
            <w:left w:val="none" w:sz="0" w:space="0" w:color="auto"/>
            <w:bottom w:val="none" w:sz="0" w:space="0" w:color="auto"/>
            <w:right w:val="none" w:sz="0" w:space="0" w:color="auto"/>
          </w:divBdr>
        </w:div>
        <w:div w:id="590623489">
          <w:marLeft w:val="720"/>
          <w:marRight w:val="0"/>
          <w:marTop w:val="0"/>
          <w:marBottom w:val="0"/>
          <w:divBdr>
            <w:top w:val="none" w:sz="0" w:space="0" w:color="auto"/>
            <w:left w:val="none" w:sz="0" w:space="0" w:color="auto"/>
            <w:bottom w:val="none" w:sz="0" w:space="0" w:color="auto"/>
            <w:right w:val="none" w:sz="0" w:space="0" w:color="auto"/>
          </w:divBdr>
        </w:div>
        <w:div w:id="1945503568">
          <w:marLeft w:val="720"/>
          <w:marRight w:val="0"/>
          <w:marTop w:val="0"/>
          <w:marBottom w:val="0"/>
          <w:divBdr>
            <w:top w:val="none" w:sz="0" w:space="0" w:color="auto"/>
            <w:left w:val="none" w:sz="0" w:space="0" w:color="auto"/>
            <w:bottom w:val="none" w:sz="0" w:space="0" w:color="auto"/>
            <w:right w:val="none" w:sz="0" w:space="0" w:color="auto"/>
          </w:divBdr>
        </w:div>
      </w:divsChild>
    </w:div>
    <w:div w:id="1353067424">
      <w:bodyDiv w:val="1"/>
      <w:marLeft w:val="0"/>
      <w:marRight w:val="0"/>
      <w:marTop w:val="0"/>
      <w:marBottom w:val="0"/>
      <w:divBdr>
        <w:top w:val="none" w:sz="0" w:space="0" w:color="auto"/>
        <w:left w:val="none" w:sz="0" w:space="0" w:color="auto"/>
        <w:bottom w:val="none" w:sz="0" w:space="0" w:color="auto"/>
        <w:right w:val="none" w:sz="0" w:space="0" w:color="auto"/>
      </w:divBdr>
    </w:div>
    <w:div w:id="1548302344">
      <w:bodyDiv w:val="1"/>
      <w:marLeft w:val="0"/>
      <w:marRight w:val="0"/>
      <w:marTop w:val="0"/>
      <w:marBottom w:val="0"/>
      <w:divBdr>
        <w:top w:val="none" w:sz="0" w:space="0" w:color="auto"/>
        <w:left w:val="none" w:sz="0" w:space="0" w:color="auto"/>
        <w:bottom w:val="none" w:sz="0" w:space="0" w:color="auto"/>
        <w:right w:val="none" w:sz="0" w:space="0" w:color="auto"/>
      </w:divBdr>
    </w:div>
    <w:div w:id="1861234778">
      <w:bodyDiv w:val="1"/>
      <w:marLeft w:val="0"/>
      <w:marRight w:val="0"/>
      <w:marTop w:val="0"/>
      <w:marBottom w:val="0"/>
      <w:divBdr>
        <w:top w:val="none" w:sz="0" w:space="0" w:color="auto"/>
        <w:left w:val="none" w:sz="0" w:space="0" w:color="auto"/>
        <w:bottom w:val="none" w:sz="0" w:space="0" w:color="auto"/>
        <w:right w:val="none" w:sz="0" w:space="0" w:color="auto"/>
      </w:divBdr>
      <w:divsChild>
        <w:div w:id="913591578">
          <w:marLeft w:val="0"/>
          <w:marRight w:val="0"/>
          <w:marTop w:val="0"/>
          <w:marBottom w:val="0"/>
          <w:divBdr>
            <w:top w:val="none" w:sz="0" w:space="0" w:color="auto"/>
            <w:left w:val="none" w:sz="0" w:space="0" w:color="auto"/>
            <w:bottom w:val="none" w:sz="0" w:space="0" w:color="auto"/>
            <w:right w:val="none" w:sz="0" w:space="0" w:color="auto"/>
          </w:divBdr>
          <w:divsChild>
            <w:div w:id="1656957319">
              <w:marLeft w:val="0"/>
              <w:marRight w:val="0"/>
              <w:marTop w:val="0"/>
              <w:marBottom w:val="0"/>
              <w:divBdr>
                <w:top w:val="none" w:sz="0" w:space="0" w:color="auto"/>
                <w:left w:val="none" w:sz="0" w:space="0" w:color="auto"/>
                <w:bottom w:val="none" w:sz="0" w:space="0" w:color="auto"/>
                <w:right w:val="none" w:sz="0" w:space="0" w:color="auto"/>
              </w:divBdr>
              <w:divsChild>
                <w:div w:id="442847056">
                  <w:marLeft w:val="0"/>
                  <w:marRight w:val="0"/>
                  <w:marTop w:val="0"/>
                  <w:marBottom w:val="0"/>
                  <w:divBdr>
                    <w:top w:val="none" w:sz="0" w:space="0" w:color="auto"/>
                    <w:left w:val="none" w:sz="0" w:space="0" w:color="auto"/>
                    <w:bottom w:val="none" w:sz="0" w:space="0" w:color="auto"/>
                    <w:right w:val="none" w:sz="0" w:space="0" w:color="auto"/>
                  </w:divBdr>
                  <w:divsChild>
                    <w:div w:id="130025106">
                      <w:marLeft w:val="0"/>
                      <w:marRight w:val="0"/>
                      <w:marTop w:val="0"/>
                      <w:marBottom w:val="0"/>
                      <w:divBdr>
                        <w:top w:val="none" w:sz="0" w:space="0" w:color="auto"/>
                        <w:left w:val="none" w:sz="0" w:space="0" w:color="auto"/>
                        <w:bottom w:val="none" w:sz="0" w:space="0" w:color="auto"/>
                        <w:right w:val="none" w:sz="0" w:space="0" w:color="auto"/>
                      </w:divBdr>
                      <w:divsChild>
                        <w:div w:id="1486971944">
                          <w:marLeft w:val="0"/>
                          <w:marRight w:val="0"/>
                          <w:marTop w:val="0"/>
                          <w:marBottom w:val="0"/>
                          <w:divBdr>
                            <w:top w:val="none" w:sz="0" w:space="0" w:color="auto"/>
                            <w:left w:val="none" w:sz="0" w:space="0" w:color="auto"/>
                            <w:bottom w:val="none" w:sz="0" w:space="0" w:color="auto"/>
                            <w:right w:val="none" w:sz="0" w:space="0" w:color="auto"/>
                          </w:divBdr>
                          <w:divsChild>
                            <w:div w:id="1521236485">
                              <w:marLeft w:val="0"/>
                              <w:marRight w:val="0"/>
                              <w:marTop w:val="0"/>
                              <w:marBottom w:val="0"/>
                              <w:divBdr>
                                <w:top w:val="none" w:sz="0" w:space="0" w:color="auto"/>
                                <w:left w:val="none" w:sz="0" w:space="0" w:color="auto"/>
                                <w:bottom w:val="none" w:sz="0" w:space="0" w:color="auto"/>
                                <w:right w:val="none" w:sz="0" w:space="0" w:color="auto"/>
                              </w:divBdr>
                            </w:div>
                          </w:divsChild>
                        </w:div>
                        <w:div w:id="1729376665">
                          <w:marLeft w:val="0"/>
                          <w:marRight w:val="0"/>
                          <w:marTop w:val="0"/>
                          <w:marBottom w:val="0"/>
                          <w:divBdr>
                            <w:top w:val="none" w:sz="0" w:space="0" w:color="auto"/>
                            <w:left w:val="none" w:sz="0" w:space="0" w:color="auto"/>
                            <w:bottom w:val="none" w:sz="0" w:space="0" w:color="auto"/>
                            <w:right w:val="none" w:sz="0" w:space="0" w:color="auto"/>
                          </w:divBdr>
                          <w:divsChild>
                            <w:div w:id="315886008">
                              <w:marLeft w:val="0"/>
                              <w:marRight w:val="0"/>
                              <w:marTop w:val="0"/>
                              <w:marBottom w:val="0"/>
                              <w:divBdr>
                                <w:top w:val="none" w:sz="0" w:space="0" w:color="auto"/>
                                <w:left w:val="none" w:sz="0" w:space="0" w:color="auto"/>
                                <w:bottom w:val="none" w:sz="0" w:space="0" w:color="auto"/>
                                <w:right w:val="none" w:sz="0" w:space="0" w:color="auto"/>
                              </w:divBdr>
                              <w:divsChild>
                                <w:div w:id="725181498">
                                  <w:marLeft w:val="120"/>
                                  <w:marRight w:val="0"/>
                                  <w:marTop w:val="90"/>
                                  <w:marBottom w:val="90"/>
                                  <w:divBdr>
                                    <w:top w:val="none" w:sz="0" w:space="0" w:color="auto"/>
                                    <w:left w:val="none" w:sz="0" w:space="0" w:color="auto"/>
                                    <w:bottom w:val="none" w:sz="0" w:space="0" w:color="auto"/>
                                    <w:right w:val="none" w:sz="0" w:space="0" w:color="auto"/>
                                  </w:divBdr>
                                </w:div>
                                <w:div w:id="875848222">
                                  <w:marLeft w:val="120"/>
                                  <w:marRight w:val="0"/>
                                  <w:marTop w:val="90"/>
                                  <w:marBottom w:val="90"/>
                                  <w:divBdr>
                                    <w:top w:val="none" w:sz="0" w:space="0" w:color="auto"/>
                                    <w:left w:val="none" w:sz="0" w:space="0" w:color="auto"/>
                                    <w:bottom w:val="none" w:sz="0" w:space="0" w:color="auto"/>
                                    <w:right w:val="none" w:sz="0" w:space="0" w:color="auto"/>
                                  </w:divBdr>
                                </w:div>
                                <w:div w:id="986544742">
                                  <w:marLeft w:val="150"/>
                                  <w:marRight w:val="0"/>
                                  <w:marTop w:val="90"/>
                                  <w:marBottom w:val="90"/>
                                  <w:divBdr>
                                    <w:top w:val="none" w:sz="0" w:space="0" w:color="auto"/>
                                    <w:left w:val="none" w:sz="0" w:space="0" w:color="auto"/>
                                    <w:bottom w:val="none" w:sz="0" w:space="0" w:color="auto"/>
                                    <w:right w:val="none" w:sz="0" w:space="0" w:color="auto"/>
                                  </w:divBdr>
                                </w:div>
                                <w:div w:id="122985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402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gov.uk/guidance/using-personal-data-in-your-business-or-other-organis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o.org.uk/for-organisations/uk-gdpr-guidance-and-resources/international-transfers/international-data-transfer-agreement-and-guidance/international-data-transfer-agreement-and-guidance/transfer-risk-assessment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o.org.uk/for-organisations/uk-gdpr-guidance-and-resources/international-transfers/guide-to-binding-corporate-rul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nquiries@makeuk.org" TargetMode="External"/><Relationship Id="rId4" Type="http://schemas.openxmlformats.org/officeDocument/2006/relationships/settings" Target="settings.xml"/><Relationship Id="rId9" Type="http://schemas.openxmlformats.org/officeDocument/2006/relationships/hyperlink" Target="https://ico.org.uk/for-organisations/uk-gdpr-guidance-and-resources/accountability-and-governance/accountability-framework/training-and-awareness/" TargetMode="External"/><Relationship Id="rId14" Type="http://schemas.openxmlformats.org/officeDocument/2006/relationships/hyperlink" Target="https://ico.org.uk/for-organisations/data-protection-and-the-eu/data-protection-and-the-eu-in-detail/the-uk-gdpr/international-data-transf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54ECA-C925-4521-94DF-92E9B3E39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3106</Words>
  <Characters>17889</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Holiday pay must include compensation for any results-based commission that would ordinarily be earned, according to the lates</vt:lpstr>
    </vt:vector>
  </TitlesOfParts>
  <Company>Hewlett-Packard</Company>
  <LinksUpToDate>false</LinksUpToDate>
  <CharactersWithSpaces>20954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Holiday pay must include compensation for any results-based commission that would ordinarily be earned, according to the lates</dc:title>
  <dc:subject/>
  <dc:creator>ruthnodder</dc:creator>
  <cp:keywords/>
  <cp:lastModifiedBy>Sara Meyer</cp:lastModifiedBy>
  <cp:revision>3</cp:revision>
  <cp:lastPrinted>2019-04-16T09:12:00Z</cp:lastPrinted>
  <dcterms:created xsi:type="dcterms:W3CDTF">2023-11-01T16:04:00Z</dcterms:created>
  <dcterms:modified xsi:type="dcterms:W3CDTF">2023-11-01T16:04:00Z</dcterms:modified>
</cp:coreProperties>
</file>